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AIHE-B05 - Model Selection, Uncertainty, and Reproducibility</w:t>
      </w:r>
    </w:p>
    <w:p>
      <w:r>
        <w:rPr>
          <w:b/>
        </w:rPr>
        <w:t>Chapter 8: Decision Modelling, Simulation, and the Value of Information</w:t>
      </w:r>
    </w:p>
    <w:p>
      <w:r>
        <w:t>Select a decision model from the problem structure and document evidence, verification, uncertainty, and reproducibility.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AIHE-B05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Model specification</w:t>
            </w:r>
          </w:p>
        </w:tc>
        <w:tc>
          <w:tcPr>
            <w:tcW w:type="dxa" w:w="2556"/>
            <w:vAlign w:val="top"/>
          </w:tcPr>
          <w:p>
            <w:r>
              <w:t>Decision problem, conceptual model, structure, and rationale</w:t>
            </w:r>
          </w:p>
        </w:tc>
        <w:tc>
          <w:tcPr>
            <w:tcW w:type="dxa" w:w="2556"/>
            <w:vAlign w:val="top"/>
          </w:tcPr>
          <w:p>
            <w:r>
              <w:t>Select structure from the dominant features of the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AI representation</w:t>
            </w:r>
          </w:p>
        </w:tc>
        <w:tc>
          <w:tcPr>
            <w:tcW w:type="dxa" w:w="2556"/>
            <w:vAlign w:val="top"/>
          </w:tcPr>
          <w:p>
            <w:r>
              <w:t>Thresholds, human response, adoption, capacity, error consequences, update, and drift</w:t>
            </w:r>
          </w:p>
        </w:tc>
        <w:tc>
          <w:tcPr>
            <w:tcW w:type="dxa" w:w="2556"/>
            <w:vAlign w:val="top"/>
          </w:tcPr>
          <w:p>
            <w:r>
              <w:t>Represent material AI characteristics explicitly.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Uncertainty</w:t>
            </w:r>
          </w:p>
        </w:tc>
        <w:tc>
          <w:tcPr>
            <w:tcW w:type="dxa" w:w="2556"/>
            <w:vAlign w:val="top"/>
          </w:tcPr>
          <w:p>
            <w:r>
              <w:t>Parameter, structural, methodological, implementation, and future-state uncertainty</w:t>
            </w:r>
          </w:p>
        </w:tc>
        <w:tc>
          <w:tcPr>
            <w:tcW w:type="dxa" w:w="2556"/>
            <w:vAlign w:val="top"/>
          </w:tcPr>
          <w:p>
            <w:r>
              <w:t>Classify before analysis.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Deterministic analysis</w:t>
            </w:r>
          </w:p>
        </w:tc>
        <w:tc>
          <w:tcPr>
            <w:tcW w:type="dxa" w:w="2556"/>
            <w:vAlign w:val="top"/>
          </w:tcPr>
          <w:p>
            <w:r>
              <w:t>One-way sensitivity, scenarios, and threshold analysis</w:t>
            </w:r>
          </w:p>
        </w:tc>
        <w:tc>
          <w:tcPr>
            <w:tcW w:type="dxa" w:w="2556"/>
            <w:vAlign w:val="top"/>
          </w:tcPr>
          <w:p>
            <w:r>
              <w:t>Identify drivers and decision boundaries.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Probabilistic analysis</w:t>
            </w:r>
          </w:p>
        </w:tc>
        <w:tc>
          <w:tcPr>
            <w:tcW w:type="dxa" w:w="2556"/>
            <w:vAlign w:val="top"/>
          </w:tcPr>
          <w:p>
            <w:r>
              <w:t>Distributions, correlations, simulation size, CE plane, CEAC, and EVPI</w:t>
            </w:r>
          </w:p>
        </w:tc>
        <w:tc>
          <w:tcPr>
            <w:tcW w:type="dxa" w:w="2556"/>
            <w:vAlign w:val="top"/>
          </w:tcPr>
          <w:p>
            <w:r>
              <w:t>Document reproducibility.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Partial information value</w:t>
            </w:r>
          </w:p>
        </w:tc>
        <w:tc>
          <w:tcPr>
            <w:tcW w:type="dxa" w:w="2556"/>
            <w:vAlign w:val="top"/>
          </w:tcPr>
          <w:p>
            <w:r>
              <w:t>EVPPI where the model supports it</w:t>
            </w:r>
          </w:p>
        </w:tc>
        <w:tc>
          <w:tcPr>
            <w:tcW w:type="dxa" w:w="2556"/>
            <w:vAlign w:val="top"/>
          </w:tcPr>
          <w:p>
            <w:r>
              <w:t>Identify priority parameter groups.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Research design</w:t>
            </w:r>
          </w:p>
        </w:tc>
        <w:tc>
          <w:tcPr>
            <w:tcW w:type="dxa" w:w="2556"/>
            <w:vAlign w:val="top"/>
          </w:tcPr>
          <w:p>
            <w:r>
              <w:t>EVSI, research cost, implementation delay, and ENBS</w:t>
            </w:r>
          </w:p>
        </w:tc>
        <w:tc>
          <w:tcPr>
            <w:tcW w:type="dxa" w:w="2556"/>
            <w:vAlign w:val="top"/>
          </w:tcPr>
          <w:p>
            <w:r>
              <w:t>Link information value to a feasible study.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Recommendation</w:t>
            </w:r>
          </w:p>
        </w:tc>
        <w:tc>
          <w:tcPr>
            <w:tcW w:type="dxa" w:w="2556"/>
            <w:vAlign w:val="top"/>
          </w:tcPr>
          <w:p>
            <w:r>
              <w:t>Proceed, collect evidence, redesign, defer, or reject</w:t>
            </w:r>
          </w:p>
        </w:tc>
        <w:tc>
          <w:tcPr>
            <w:tcW w:type="dxa" w:w="2556"/>
            <w:vAlign w:val="top"/>
          </w:tcPr>
          <w:p>
            <w:r>
              <w:t>State how uncertainty changes the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Credibility</w:t>
            </w:r>
          </w:p>
        </w:tc>
        <w:tc>
          <w:tcPr>
            <w:tcW w:type="dxa" w:w="2556"/>
            <w:vAlign w:val="top"/>
          </w:tcPr>
          <w:p>
            <w:r>
              <w:t>Verification, calibration, validation, transparency, and version control</w:t>
            </w:r>
          </w:p>
        </w:tc>
        <w:tc>
          <w:tcPr>
            <w:tcW w:type="dxa" w:w="2556"/>
            <w:vAlign w:val="top"/>
          </w:tcPr>
          <w:p>
            <w:r>
              <w:t>Preserve model provenance.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AIHE-B05 - Model Selection, Uncertainty, and Reproducibility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