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Scenario Planning and Real-Options Worksheet</w:t>
      </w:r>
    </w:p>
    <w:p>
      <w:pPr>
        <w:jc w:val="centre"/>
      </w:pPr>
      <w:r>
        <w:rPr>
          <w:b/>
          <w:color w:val="7A2334"/>
        </w:rPr>
        <w:t>AIHE-RG05</w:t>
      </w:r>
    </w:p>
    <w:p>
      <w:pPr>
        <w:spacing w:after="40"/>
      </w:pPr>
      <w:r>
        <w:rPr>
          <w:b/>
        </w:rPr>
        <w:t xml:space="preserve">Primary chapter: </w:t>
      </w:r>
      <w:r>
        <w:t>8 — Decision Modelling, Simulation, and the Value of Information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1, 6-9, 12, 15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Examine uncertainty through alternative futures, thresholds, staged commitments, learning options, contract flexibility, and explicit exit criteria.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rPr>
          <w:tblHeader w:val="true"/>
        </w:trPr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Decision option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Key uncertainty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Probability or qualitative likelihood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Cost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Outcome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Equity or trust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Decision threshold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Evidence to collect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Reversibility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Contract or technical option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Scale restrict or stop trigger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Review date</w:t>
            </w:r>
          </w:p>
        </w:tc>
      </w:tr>
      <w:tr>
        <w:tc>
          <w:tcPr>
            <w:tcW w:type="dxa" w:w="1089"/>
            <w:vAlign w:val="top"/>
            <w:shd w:fill="F2E8EB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AIHE-RG05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