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AIHE-D01 - Vendor Evidence and Contract Requirements</w:t>
      </w:r>
    </w:p>
    <w:p>
      <w:r>
        <w:rPr>
          <w:b/>
        </w:rPr>
        <w:t>Chapter 9: Problem-First Procurement and Vendor Governance</w:t>
      </w:r>
    </w:p>
    <w:p>
      <w:r>
        <w:t>Translate evidence, interoperability, data, security, monitoring, update, service, remedy, portability, and exit requirements into contract terms.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AIHE-D01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Supplier identity</w:t>
            </w:r>
          </w:p>
        </w:tc>
        <w:tc>
          <w:tcPr>
            <w:tcW w:type="dxa" w:w="2556"/>
            <w:vAlign w:val="top"/>
          </w:tcPr>
          <w:p>
            <w:r>
              <w:t>Supplier, exact product, version, intended use, and deployment configuration</w:t>
            </w:r>
          </w:p>
        </w:tc>
        <w:tc>
          <w:tcPr>
            <w:tcW w:type="dxa" w:w="2556"/>
            <w:vAlign w:val="top"/>
          </w:tcPr>
          <w:p>
            <w:r>
              <w:t>Claims must match the deployed system.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Claim register</w:t>
            </w:r>
          </w:p>
        </w:tc>
        <w:tc>
          <w:tcPr>
            <w:tcW w:type="dxa" w:w="2556"/>
            <w:vAlign w:val="top"/>
          </w:tcPr>
          <w:p>
            <w:r>
              <w:t>Clinical, technical, economic, workflow, equity, security, and sustainability claim</w:t>
            </w:r>
          </w:p>
        </w:tc>
        <w:tc>
          <w:tcPr>
            <w:tcW w:type="dxa" w:w="2556"/>
            <w:vAlign w:val="top"/>
          </w:tcPr>
          <w:p>
            <w:r>
              <w:t>Treat each claim as a verifiable proposition.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Evidence</w:t>
            </w:r>
          </w:p>
        </w:tc>
        <w:tc>
          <w:tcPr>
            <w:tcW w:type="dxa" w:w="2556"/>
            <w:vAlign w:val="top"/>
          </w:tcPr>
          <w:p>
            <w:r>
              <w:t>Evidence supplied, applicability, limitations, and independent verification</w:t>
            </w:r>
          </w:p>
        </w:tc>
        <w:tc>
          <w:tcPr>
            <w:tcW w:type="dxa" w:w="2556"/>
            <w:vAlign w:val="top"/>
          </w:tcPr>
          <w:p>
            <w:r>
              <w:t>Record gaps and conditions.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Dependencies</w:t>
            </w:r>
          </w:p>
        </w:tc>
        <w:tc>
          <w:tcPr>
            <w:tcW w:type="dxa" w:w="2556"/>
            <w:vAlign w:val="top"/>
          </w:tcPr>
          <w:p>
            <w:r>
              <w:t>Foundation model, cloud, data, library, device, and subcontractor dependencies</w:t>
            </w:r>
          </w:p>
        </w:tc>
        <w:tc>
          <w:tcPr>
            <w:tcW w:type="dxa" w:w="2556"/>
            <w:vAlign w:val="top"/>
          </w:tcPr>
          <w:p>
            <w:r>
              <w:t>Require disclosure of upstream change.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Rights</w:t>
            </w:r>
          </w:p>
        </w:tc>
        <w:tc>
          <w:tcPr>
            <w:tcW w:type="dxa" w:w="2556"/>
            <w:vAlign w:val="top"/>
          </w:tcPr>
          <w:p>
            <w:r>
              <w:t>Data access, performance data, audit, testing, pub, and learning rights</w:t>
            </w:r>
          </w:p>
        </w:tc>
        <w:tc>
          <w:tcPr>
            <w:tcW w:type="dxa" w:w="2556"/>
            <w:vAlign w:val="top"/>
          </w:tcPr>
          <w:p>
            <w:r>
              <w:t>Ensure continuing assurance.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Obligations</w:t>
            </w:r>
          </w:p>
        </w:tc>
        <w:tc>
          <w:tcPr>
            <w:tcW w:type="dxa" w:w="2556"/>
            <w:vAlign w:val="top"/>
          </w:tcPr>
          <w:p>
            <w:r>
              <w:t>Disclosure, notification, remediation, support, and reporting obligations</w:t>
            </w:r>
          </w:p>
        </w:tc>
        <w:tc>
          <w:tcPr>
            <w:tcW w:type="dxa" w:w="2556"/>
            <w:vAlign w:val="top"/>
          </w:tcPr>
          <w:p>
            <w:r>
              <w:t>Assign frequency and owner.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Commercial terms</w:t>
            </w:r>
          </w:p>
        </w:tc>
        <w:tc>
          <w:tcPr>
            <w:tcW w:type="dxa" w:w="2556"/>
            <w:vAlign w:val="top"/>
          </w:tcPr>
          <w:p>
            <w:r>
              <w:t>Pricing units, volume exposure, escalation, service levels, remedies, and risk sharing</w:t>
            </w:r>
          </w:p>
        </w:tc>
        <w:tc>
          <w:tcPr>
            <w:tcW w:type="dxa" w:w="2556"/>
            <w:vAlign w:val="top"/>
          </w:tcPr>
          <w:p>
            <w:r>
              <w:t>Link to lifecycle cost.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Change control</w:t>
            </w:r>
          </w:p>
        </w:tc>
        <w:tc>
          <w:tcPr>
            <w:tcW w:type="dxa" w:w="2556"/>
            <w:vAlign w:val="top"/>
          </w:tcPr>
          <w:p>
            <w:r>
              <w:t>Material-change notification and revalidation duties</w:t>
            </w:r>
          </w:p>
        </w:tc>
        <w:tc>
          <w:tcPr>
            <w:tcW w:type="dxa" w:w="2556"/>
            <w:vAlign w:val="top"/>
          </w:tcPr>
          <w:p>
            <w:r>
              <w:t>Preserve version identity.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Renewal and exit</w:t>
            </w:r>
          </w:p>
        </w:tc>
        <w:tc>
          <w:tcPr>
            <w:tcW w:type="dxa" w:w="2556"/>
            <w:vAlign w:val="top"/>
          </w:tcPr>
          <w:p>
            <w:r>
              <w:t>Renewal evidence, portability, continuity, transition assistance, and termination</w:t>
            </w:r>
          </w:p>
        </w:tc>
        <w:tc>
          <w:tcPr>
            <w:tcW w:type="dxa" w:w="2556"/>
            <w:vAlign w:val="top"/>
          </w:tcPr>
          <w:p>
            <w:r>
              <w:t>Treat renewal as a new decision.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AIHE-D01 - Vendor Evidence and Contract Requirements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