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AIHE-C03 - Integrated Institutional-Risk Review</w:t>
      </w:r>
    </w:p>
    <w:p>
      <w:r>
        <w:rPr>
          <w:b/>
        </w:rPr>
        <w:t>Chapter 10: Governance, Accountability, and Institutional Risk</w:t>
      </w:r>
    </w:p>
    <w:p>
      <w:r>
        <w:t>Review ethics, equity, privacy, cybersecurity, safety, continuity, trust, legal, and economic risks as one institutional system.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AIHE-C03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Risk</w:t>
            </w:r>
          </w:p>
        </w:tc>
        <w:tc>
          <w:tcPr>
            <w:tcW w:type="dxa" w:w="2556"/>
            <w:vAlign w:val="top"/>
          </w:tcPr>
          <w:p>
            <w:r>
              <w:t>Risk statement, affected groups, and plausible consequence</w:t>
            </w:r>
          </w:p>
        </w:tc>
        <w:tc>
          <w:tcPr>
            <w:tcW w:type="dxa" w:w="2556"/>
            <w:vAlign w:val="top"/>
          </w:tcPr>
          <w:p>
            <w:r>
              <w:t>Cover clinical, privacy, cybersecurity, equity, trust, continuity, legal, and institutional risks.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Evidence</w:t>
            </w:r>
          </w:p>
        </w:tc>
        <w:tc>
          <w:tcPr>
            <w:tcW w:type="dxa" w:w="2556"/>
            <w:vAlign w:val="top"/>
          </w:tcPr>
          <w:p>
            <w:r>
              <w:t>Evidence source, uncertainty, and affected versions</w:t>
            </w:r>
          </w:p>
        </w:tc>
        <w:tc>
          <w:tcPr>
            <w:tcW w:type="dxa" w:w="2556"/>
            <w:vAlign w:val="top"/>
          </w:tcPr>
          <w:p>
            <w:r>
              <w:t>Maintain traceability.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Control</w:t>
            </w:r>
          </w:p>
        </w:tc>
        <w:tc>
          <w:tcPr>
            <w:tcW w:type="dxa" w:w="2556"/>
            <w:vAlign w:val="top"/>
          </w:tcPr>
          <w:p>
            <w:r>
              <w:t>Preventive, detective, corrective, and continuity controls</w:t>
            </w:r>
          </w:p>
        </w:tc>
        <w:tc>
          <w:tcPr>
            <w:tcW w:type="dxa" w:w="2556"/>
            <w:vAlign w:val="top"/>
          </w:tcPr>
          <w:p>
            <w:r>
              <w:t>Name owners.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Residual risk</w:t>
            </w:r>
          </w:p>
        </w:tc>
        <w:tc>
          <w:tcPr>
            <w:tcW w:type="dxa" w:w="2556"/>
            <w:vAlign w:val="top"/>
          </w:tcPr>
          <w:p>
            <w:r>
              <w:t>Residual likelihood, consequence, and uncertainty</w:t>
            </w:r>
          </w:p>
        </w:tc>
        <w:tc>
          <w:tcPr>
            <w:tcW w:type="dxa" w:w="2556"/>
            <w:vAlign w:val="top"/>
          </w:tcPr>
          <w:p>
            <w:r>
              <w:t>Do not average away mandatory safeguards.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Authority</w:t>
            </w:r>
          </w:p>
        </w:tc>
        <w:tc>
          <w:tcPr>
            <w:tcW w:type="dxa" w:w="2556"/>
            <w:vAlign w:val="top"/>
          </w:tcPr>
          <w:p>
            <w:r>
              <w:t>Person or body authorized to accept residual risk</w:t>
            </w:r>
          </w:p>
        </w:tc>
        <w:tc>
          <w:tcPr>
            <w:tcW w:type="dxa" w:w="2556"/>
            <w:vAlign w:val="top"/>
          </w:tcPr>
          <w:p>
            <w:r>
              <w:t>State delegation limits.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Assurance</w:t>
            </w:r>
          </w:p>
        </w:tc>
        <w:tc>
          <w:tcPr>
            <w:tcW w:type="dxa" w:w="2556"/>
            <w:vAlign w:val="top"/>
          </w:tcPr>
          <w:p>
            <w:r>
              <w:t>Independent challenge, conflict declaration, and dissent</w:t>
            </w:r>
          </w:p>
        </w:tc>
        <w:tc>
          <w:tcPr>
            <w:tcW w:type="dxa" w:w="2556"/>
            <w:vAlign w:val="top"/>
          </w:tcPr>
          <w:p>
            <w:r>
              <w:t>Preserve material disagreement.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Contestability</w:t>
            </w:r>
          </w:p>
        </w:tc>
        <w:tc>
          <w:tcPr>
            <w:tcW w:type="dxa" w:w="2556"/>
            <w:vAlign w:val="top"/>
          </w:tcPr>
          <w:p>
            <w:r>
              <w:t>Route for review, complaint, appeal, or human alternative</w:t>
            </w:r>
          </w:p>
        </w:tc>
        <w:tc>
          <w:tcPr>
            <w:tcW w:type="dxa" w:w="2556"/>
            <w:vAlign w:val="top"/>
          </w:tcPr>
          <w:p>
            <w:r>
              <w:t>Make it accessible.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Lifecycle</w:t>
            </w:r>
          </w:p>
        </w:tc>
        <w:tc>
          <w:tcPr>
            <w:tcW w:type="dxa" w:w="2556"/>
            <w:vAlign w:val="top"/>
          </w:tcPr>
          <w:p>
            <w:r>
              <w:t>Monitoring, incident, material-change, and reauthorization triggers</w:t>
            </w:r>
          </w:p>
        </w:tc>
        <w:tc>
          <w:tcPr>
            <w:tcW w:type="dxa" w:w="2556"/>
            <w:vAlign w:val="top"/>
          </w:tcPr>
          <w:p>
            <w:r>
              <w:t>Connect risk to action.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AIHE-C03 - Integrated Institutional-Risk Review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