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AIHE-AB — Privacy and Cybersecurity Risk Register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AIHE-AB</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Risk</w:t>
            </w:r>
          </w:p>
        </w:tc>
        <w:tc>
          <w:tcPr>
            <w:tcW w:type="dxa" w:w="2328"/>
            <w:vAlign w:val="centre"/>
            <w:tcMar>
              <w:top w:w="80" w:type="dxa"/>
              <w:start w:w="80" w:type="dxa"/>
              <w:bottom w:w="80" w:type="dxa"/>
              <w:end w:w="80" w:type="dxa"/>
            </w:tcMar>
            <w:shd w:fill="D9EAF7"/>
          </w:tcPr>
          <w:p>
            <w:r>
              <w:rPr>
                <w:b/>
              </w:rPr>
              <w:t>Likelihood</w:t>
            </w:r>
          </w:p>
        </w:tc>
        <w:tc>
          <w:tcPr>
            <w:tcW w:type="dxa" w:w="2328"/>
            <w:vAlign w:val="centre"/>
            <w:tcMar>
              <w:top w:w="80" w:type="dxa"/>
              <w:start w:w="80" w:type="dxa"/>
              <w:bottom w:w="80" w:type="dxa"/>
              <w:end w:w="80" w:type="dxa"/>
            </w:tcMar>
            <w:shd w:fill="D9EAF7"/>
          </w:tcPr>
          <w:p>
            <w:r>
              <w:rPr>
                <w:b/>
              </w:rPr>
              <w:t>Impact</w:t>
            </w:r>
          </w:p>
        </w:tc>
        <w:tc>
          <w:tcPr>
            <w:tcW w:type="dxa" w:w="2328"/>
            <w:vAlign w:val="centre"/>
            <w:tcMar>
              <w:top w:w="80" w:type="dxa"/>
              <w:start w:w="80" w:type="dxa"/>
              <w:bottom w:w="80" w:type="dxa"/>
              <w:end w:w="80" w:type="dxa"/>
            </w:tcMar>
            <w:shd w:fill="D9EAF7"/>
          </w:tcPr>
          <w:p>
            <w:r>
              <w:rPr>
                <w:b/>
              </w:rPr>
              <w:t>Mitigation</w:t>
            </w:r>
          </w:p>
        </w:tc>
        <w:tc>
          <w:tcPr>
            <w:tcW w:type="dxa" w:w="2328"/>
            <w:vAlign w:val="centre"/>
            <w:tcMar>
              <w:top w:w="80" w:type="dxa"/>
              <w:start w:w="80" w:type="dxa"/>
              <w:bottom w:w="80" w:type="dxa"/>
              <w:end w:w="80" w:type="dxa"/>
            </w:tcMar>
            <w:shd w:fill="D9EAF7"/>
          </w:tcPr>
          <w:p>
            <w:r>
              <w:rPr>
                <w:b/>
              </w:rPr>
              <w:t>Owner</w:t>
            </w:r>
          </w:p>
        </w:tc>
        <w:tc>
          <w:tcPr>
            <w:tcW w:type="dxa" w:w="2328"/>
            <w:vAlign w:val="centre"/>
            <w:tcMar>
              <w:top w:w="80" w:type="dxa"/>
              <w:start w:w="80" w:type="dxa"/>
              <w:bottom w:w="80" w:type="dxa"/>
              <w:end w:w="80" w:type="dxa"/>
            </w:tcMar>
            <w:shd w:fill="D9EAF7"/>
          </w:tcPr>
          <w:p>
            <w:r>
              <w:rPr>
                <w:b/>
              </w:rPr>
              <w:t>Review date</w:t>
            </w:r>
          </w:p>
        </w:tc>
      </w:tr>
      <w:tr>
        <w:tc>
          <w:tcPr>
            <w:tcW w:type="dxa" w:w="2328"/>
            <w:vAlign w:val="centre"/>
            <w:tcMar>
              <w:top w:w="80" w:type="dxa"/>
              <w:start w:w="80" w:type="dxa"/>
              <w:bottom w:w="80" w:type="dxa"/>
              <w:end w:w="80" w:type="dxa"/>
            </w:tcMar>
          </w:tcPr>
          <w:p>
            <w:r>
              <w:t>Unauthorized data access</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Vendor or supply-chain breach</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Ransomware or service downtime</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Unsafe model or prompt manipulation</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Weak access control or audit logging</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Insecure update or API</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Unsafe manual fallback</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Unclear incident escalation</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AIHE-AB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