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AIHE-AC — Equity Impact Tool</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AIHE-AC</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10: Governance, Accountability, and Institutional Risk;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Population or group</w:t>
            </w:r>
          </w:p>
        </w:tc>
        <w:tc>
          <w:tcPr>
            <w:tcW w:type="dxa" w:w="2074"/>
            <w:vAlign w:val="centre"/>
            <w:tcMar>
              <w:top w:w="80" w:type="dxa"/>
              <w:start w:w="80" w:type="dxa"/>
              <w:bottom w:w="80" w:type="dxa"/>
              <w:end w:w="80" w:type="dxa"/>
            </w:tcMar>
            <w:shd w:fill="D9EAF7"/>
          </w:tcPr>
          <w:p>
            <w:r>
              <w:rPr>
                <w:b/>
              </w:rPr>
              <w:t>Barrier or performance concern</w:t>
            </w:r>
          </w:p>
        </w:tc>
        <w:tc>
          <w:tcPr>
            <w:tcW w:type="dxa" w:w="2074"/>
            <w:vAlign w:val="centre"/>
            <w:tcMar>
              <w:top w:w="80" w:type="dxa"/>
              <w:start w:w="80" w:type="dxa"/>
              <w:bottom w:w="80" w:type="dxa"/>
              <w:end w:w="80" w:type="dxa"/>
            </w:tcMar>
            <w:shd w:fill="D9EAF7"/>
          </w:tcPr>
          <w:p>
            <w:r>
              <w:rPr>
                <w:b/>
              </w:rPr>
              <w:t>Potential harm</w:t>
            </w:r>
          </w:p>
        </w:tc>
        <w:tc>
          <w:tcPr>
            <w:tcW w:type="dxa" w:w="2074"/>
            <w:vAlign w:val="centre"/>
            <w:tcMar>
              <w:top w:w="80" w:type="dxa"/>
              <w:start w:w="80" w:type="dxa"/>
              <w:bottom w:w="80" w:type="dxa"/>
              <w:end w:w="80" w:type="dxa"/>
            </w:tcMar>
            <w:shd w:fill="D9EAF7"/>
          </w:tcPr>
          <w:p>
            <w:r>
              <w:rPr>
                <w:b/>
              </w:rPr>
              <w:t>Mitigation</w:t>
            </w:r>
          </w:p>
        </w:tc>
        <w:tc>
          <w:tcPr>
            <w:tcW w:type="dxa" w:w="2074"/>
            <w:vAlign w:val="centre"/>
            <w:tcMar>
              <w:top w:w="80" w:type="dxa"/>
              <w:start w:w="80" w:type="dxa"/>
              <w:bottom w:w="80" w:type="dxa"/>
              <w:end w:w="80" w:type="dxa"/>
            </w:tcMar>
            <w:shd w:fill="D9EAF7"/>
          </w:tcPr>
          <w:p>
            <w:r>
              <w:rPr>
                <w:b/>
              </w:rPr>
              <w:t>Monitoring indicator</w:t>
            </w:r>
          </w:p>
        </w:tc>
      </w:tr>
      <w:tr>
        <w:tc>
          <w:tcPr>
            <w:tcW w:type="dxa" w:w="2074"/>
            <w:vAlign w:val="centre"/>
            <w:tcMar>
              <w:top w:w="80" w:type="dxa"/>
              <w:start w:w="80" w:type="dxa"/>
              <w:bottom w:w="80" w:type="dxa"/>
              <w:end w:w="80" w:type="dxa"/>
            </w:tcMar>
          </w:tcPr>
          <w:p>
            <w:r>
              <w:t>Older adults</w:t>
            </w:r>
          </w:p>
        </w:tc>
        <w:tc>
          <w:tcPr>
            <w:tcW w:type="dxa" w:w="2074"/>
            <w:vAlign w:val="centre"/>
            <w:tcMar>
              <w:top w:w="80" w:type="dxa"/>
              <w:start w:w="80" w:type="dxa"/>
              <w:bottom w:w="80" w:type="dxa"/>
              <w:end w:w="80" w:type="dxa"/>
            </w:tcMar>
          </w:tcPr>
          <w:p>
            <w:r>
              <w:t>Potential missing data, lower digital access, or different service pathways.</w:t>
            </w:r>
          </w:p>
        </w:tc>
        <w:tc>
          <w:tcPr>
            <w:tcW w:type="dxa" w:w="2074"/>
            <w:vAlign w:val="centre"/>
            <w:tcMar>
              <w:top w:w="80" w:type="dxa"/>
              <w:start w:w="80" w:type="dxa"/>
              <w:bottom w:w="80" w:type="dxa"/>
              <w:end w:w="80" w:type="dxa"/>
            </w:tcMar>
          </w:tcPr>
          <w:p>
            <w:r>
              <w:t>Under-identification, reduced access to follow-up, or shifted burden.</w:t>
            </w:r>
          </w:p>
        </w:tc>
        <w:tc>
          <w:tcPr>
            <w:tcW w:type="dxa" w:w="2074"/>
            <w:vAlign w:val="centre"/>
            <w:tcMar>
              <w:top w:w="80" w:type="dxa"/>
              <w:start w:w="80" w:type="dxa"/>
              <w:bottom w:w="80" w:type="dxa"/>
              <w:end w:w="80" w:type="dxa"/>
            </w:tcMar>
          </w:tcPr>
          <w:p>
            <w:r>
              <w:t>Subgroup validation, alternative access channel, targeted support, and threshold review.</w:t>
            </w:r>
          </w:p>
        </w:tc>
        <w:tc>
          <w:tcPr>
            <w:tcW w:type="dxa" w:w="2074"/>
            <w:vAlign w:val="centre"/>
            <w:tcMar>
              <w:top w:w="80" w:type="dxa"/>
              <w:start w:w="80" w:type="dxa"/>
              <w:bottom w:w="80" w:type="dxa"/>
              <w:end w:w="80" w:type="dxa"/>
            </w:tcMar>
          </w:tcPr>
          <w:p>
            <w:r>
              <w:t>Calibration, intervention rate, follow-up completion, and outcome by group.</w:t>
            </w:r>
          </w:p>
        </w:tc>
      </w:tr>
      <w:tr>
        <w:tc>
          <w:tcPr>
            <w:tcW w:type="dxa" w:w="2074"/>
            <w:vAlign w:val="centre"/>
            <w:tcMar>
              <w:top w:w="80" w:type="dxa"/>
              <w:start w:w="80" w:type="dxa"/>
              <w:bottom w:w="80" w:type="dxa"/>
              <w:end w:w="80" w:type="dxa"/>
            </w:tcMar>
          </w:tcPr>
          <w:p>
            <w:r>
              <w:t>Rural patients</w:t>
            </w:r>
          </w:p>
        </w:tc>
        <w:tc>
          <w:tcPr>
            <w:tcW w:type="dxa" w:w="2074"/>
            <w:vAlign w:val="centre"/>
            <w:tcMar>
              <w:top w:w="80" w:type="dxa"/>
              <w:start w:w="80" w:type="dxa"/>
              <w:bottom w:w="80" w:type="dxa"/>
              <w:end w:w="80" w:type="dxa"/>
            </w:tcMar>
          </w:tcPr>
          <w:p>
            <w:r>
              <w:t>Potential missing data, lower digital access, or different service pathways.</w:t>
            </w:r>
          </w:p>
        </w:tc>
        <w:tc>
          <w:tcPr>
            <w:tcW w:type="dxa" w:w="2074"/>
            <w:vAlign w:val="centre"/>
            <w:tcMar>
              <w:top w:w="80" w:type="dxa"/>
              <w:start w:w="80" w:type="dxa"/>
              <w:bottom w:w="80" w:type="dxa"/>
              <w:end w:w="80" w:type="dxa"/>
            </w:tcMar>
          </w:tcPr>
          <w:p>
            <w:r>
              <w:t>Under-identification, reduced access to follow-up, or shifted burden.</w:t>
            </w:r>
          </w:p>
        </w:tc>
        <w:tc>
          <w:tcPr>
            <w:tcW w:type="dxa" w:w="2074"/>
            <w:vAlign w:val="centre"/>
            <w:tcMar>
              <w:top w:w="80" w:type="dxa"/>
              <w:start w:w="80" w:type="dxa"/>
              <w:bottom w:w="80" w:type="dxa"/>
              <w:end w:w="80" w:type="dxa"/>
            </w:tcMar>
          </w:tcPr>
          <w:p>
            <w:r>
              <w:t>Subgroup validation, alternative access channel, targeted support, and threshold review.</w:t>
            </w:r>
          </w:p>
        </w:tc>
        <w:tc>
          <w:tcPr>
            <w:tcW w:type="dxa" w:w="2074"/>
            <w:vAlign w:val="centre"/>
            <w:tcMar>
              <w:top w:w="80" w:type="dxa"/>
              <w:start w:w="80" w:type="dxa"/>
              <w:bottom w:w="80" w:type="dxa"/>
              <w:end w:w="80" w:type="dxa"/>
            </w:tcMar>
          </w:tcPr>
          <w:p>
            <w:r>
              <w:t>Calibration, intervention rate, follow-up completion, and outcome by group.</w:t>
            </w:r>
          </w:p>
        </w:tc>
      </w:tr>
      <w:tr>
        <w:tc>
          <w:tcPr>
            <w:tcW w:type="dxa" w:w="2074"/>
            <w:vAlign w:val="centre"/>
            <w:tcMar>
              <w:top w:w="80" w:type="dxa"/>
              <w:start w:w="80" w:type="dxa"/>
              <w:bottom w:w="80" w:type="dxa"/>
              <w:end w:w="80" w:type="dxa"/>
            </w:tcMar>
          </w:tcPr>
          <w:p>
            <w:r>
              <w:t>Low-income patients</w:t>
            </w:r>
          </w:p>
        </w:tc>
        <w:tc>
          <w:tcPr>
            <w:tcW w:type="dxa" w:w="2074"/>
            <w:vAlign w:val="centre"/>
            <w:tcMar>
              <w:top w:w="80" w:type="dxa"/>
              <w:start w:w="80" w:type="dxa"/>
              <w:bottom w:w="80" w:type="dxa"/>
              <w:end w:w="80" w:type="dxa"/>
            </w:tcMar>
          </w:tcPr>
          <w:p>
            <w:r>
              <w:t>Potential missing data, lower digital access, or different service pathways.</w:t>
            </w:r>
          </w:p>
        </w:tc>
        <w:tc>
          <w:tcPr>
            <w:tcW w:type="dxa" w:w="2074"/>
            <w:vAlign w:val="centre"/>
            <w:tcMar>
              <w:top w:w="80" w:type="dxa"/>
              <w:start w:w="80" w:type="dxa"/>
              <w:bottom w:w="80" w:type="dxa"/>
              <w:end w:w="80" w:type="dxa"/>
            </w:tcMar>
          </w:tcPr>
          <w:p>
            <w:r>
              <w:t>Under-identification, reduced access to follow-up, or shifted burden.</w:t>
            </w:r>
          </w:p>
        </w:tc>
        <w:tc>
          <w:tcPr>
            <w:tcW w:type="dxa" w:w="2074"/>
            <w:vAlign w:val="centre"/>
            <w:tcMar>
              <w:top w:w="80" w:type="dxa"/>
              <w:start w:w="80" w:type="dxa"/>
              <w:bottom w:w="80" w:type="dxa"/>
              <w:end w:w="80" w:type="dxa"/>
            </w:tcMar>
          </w:tcPr>
          <w:p>
            <w:r>
              <w:t>Subgroup validation, alternative access channel, targeted support, and threshold review.</w:t>
            </w:r>
          </w:p>
        </w:tc>
        <w:tc>
          <w:tcPr>
            <w:tcW w:type="dxa" w:w="2074"/>
            <w:vAlign w:val="centre"/>
            <w:tcMar>
              <w:top w:w="80" w:type="dxa"/>
              <w:start w:w="80" w:type="dxa"/>
              <w:bottom w:w="80" w:type="dxa"/>
              <w:end w:w="80" w:type="dxa"/>
            </w:tcMar>
          </w:tcPr>
          <w:p>
            <w:r>
              <w:t>Calibration, intervention rate, follow-up completion, and outcome by group.</w:t>
            </w:r>
          </w:p>
        </w:tc>
      </w:tr>
      <w:tr>
        <w:tc>
          <w:tcPr>
            <w:tcW w:type="dxa" w:w="2074"/>
            <w:vAlign w:val="centre"/>
            <w:tcMar>
              <w:top w:w="80" w:type="dxa"/>
              <w:start w:w="80" w:type="dxa"/>
              <w:bottom w:w="80" w:type="dxa"/>
              <w:end w:w="80" w:type="dxa"/>
            </w:tcMar>
          </w:tcPr>
          <w:p>
            <w:r>
              <w:t>People with disabilities</w:t>
            </w:r>
          </w:p>
        </w:tc>
        <w:tc>
          <w:tcPr>
            <w:tcW w:type="dxa" w:w="2074"/>
            <w:vAlign w:val="centre"/>
            <w:tcMar>
              <w:top w:w="80" w:type="dxa"/>
              <w:start w:w="80" w:type="dxa"/>
              <w:bottom w:w="80" w:type="dxa"/>
              <w:end w:w="80" w:type="dxa"/>
            </w:tcMar>
          </w:tcPr>
          <w:p>
            <w:r>
              <w:t>Potential missing data, lower digital access, or different service pathways.</w:t>
            </w:r>
          </w:p>
        </w:tc>
        <w:tc>
          <w:tcPr>
            <w:tcW w:type="dxa" w:w="2074"/>
            <w:vAlign w:val="centre"/>
            <w:tcMar>
              <w:top w:w="80" w:type="dxa"/>
              <w:start w:w="80" w:type="dxa"/>
              <w:bottom w:w="80" w:type="dxa"/>
              <w:end w:w="80" w:type="dxa"/>
            </w:tcMar>
          </w:tcPr>
          <w:p>
            <w:r>
              <w:t>Under-identification, reduced access to follow-up, or shifted burden.</w:t>
            </w:r>
          </w:p>
        </w:tc>
        <w:tc>
          <w:tcPr>
            <w:tcW w:type="dxa" w:w="2074"/>
            <w:vAlign w:val="centre"/>
            <w:tcMar>
              <w:top w:w="80" w:type="dxa"/>
              <w:start w:w="80" w:type="dxa"/>
              <w:bottom w:w="80" w:type="dxa"/>
              <w:end w:w="80" w:type="dxa"/>
            </w:tcMar>
          </w:tcPr>
          <w:p>
            <w:r>
              <w:t>Subgroup validation, alternative access channel, targeted support, and threshold review.</w:t>
            </w:r>
          </w:p>
        </w:tc>
        <w:tc>
          <w:tcPr>
            <w:tcW w:type="dxa" w:w="2074"/>
            <w:vAlign w:val="centre"/>
            <w:tcMar>
              <w:top w:w="80" w:type="dxa"/>
              <w:start w:w="80" w:type="dxa"/>
              <w:bottom w:w="80" w:type="dxa"/>
              <w:end w:w="80" w:type="dxa"/>
            </w:tcMar>
          </w:tcPr>
          <w:p>
            <w:r>
              <w:t>Calibration, intervention rate, follow-up completion, and outcome by group.</w:t>
            </w:r>
          </w:p>
        </w:tc>
      </w:tr>
      <w:tr>
        <w:tc>
          <w:tcPr>
            <w:tcW w:type="dxa" w:w="2074"/>
            <w:vAlign w:val="centre"/>
            <w:tcMar>
              <w:top w:w="80" w:type="dxa"/>
              <w:start w:w="80" w:type="dxa"/>
              <w:bottom w:w="80" w:type="dxa"/>
              <w:end w:w="80" w:type="dxa"/>
            </w:tcMar>
          </w:tcPr>
          <w:p>
            <w:r>
              <w:t>Minority language groups</w:t>
            </w:r>
          </w:p>
        </w:tc>
        <w:tc>
          <w:tcPr>
            <w:tcW w:type="dxa" w:w="2074"/>
            <w:vAlign w:val="centre"/>
            <w:tcMar>
              <w:top w:w="80" w:type="dxa"/>
              <w:start w:w="80" w:type="dxa"/>
              <w:bottom w:w="80" w:type="dxa"/>
              <w:end w:w="80" w:type="dxa"/>
            </w:tcMar>
          </w:tcPr>
          <w:p>
            <w:r>
              <w:t>Potential missing data, lower digital access, or different service pathways.</w:t>
            </w:r>
          </w:p>
        </w:tc>
        <w:tc>
          <w:tcPr>
            <w:tcW w:type="dxa" w:w="2074"/>
            <w:vAlign w:val="centre"/>
            <w:tcMar>
              <w:top w:w="80" w:type="dxa"/>
              <w:start w:w="80" w:type="dxa"/>
              <w:bottom w:w="80" w:type="dxa"/>
              <w:end w:w="80" w:type="dxa"/>
            </w:tcMar>
          </w:tcPr>
          <w:p>
            <w:r>
              <w:t>Under-identification, reduced access to follow-up, or shifted burden.</w:t>
            </w:r>
          </w:p>
        </w:tc>
        <w:tc>
          <w:tcPr>
            <w:tcW w:type="dxa" w:w="2074"/>
            <w:vAlign w:val="centre"/>
            <w:tcMar>
              <w:top w:w="80" w:type="dxa"/>
              <w:start w:w="80" w:type="dxa"/>
              <w:bottom w:w="80" w:type="dxa"/>
              <w:end w:w="80" w:type="dxa"/>
            </w:tcMar>
          </w:tcPr>
          <w:p>
            <w:r>
              <w:t>Subgroup validation, alternative access channel, targeted support, and threshold review.</w:t>
            </w:r>
          </w:p>
        </w:tc>
        <w:tc>
          <w:tcPr>
            <w:tcW w:type="dxa" w:w="2074"/>
            <w:vAlign w:val="centre"/>
            <w:tcMar>
              <w:top w:w="80" w:type="dxa"/>
              <w:start w:w="80" w:type="dxa"/>
              <w:bottom w:w="80" w:type="dxa"/>
              <w:end w:w="80" w:type="dxa"/>
            </w:tcMar>
          </w:tcPr>
          <w:p>
            <w:r>
              <w:t>Calibration, intervention rate, follow-up completion, and outcome by group.</w:t>
            </w:r>
          </w:p>
        </w:tc>
      </w:tr>
      <w:tr>
        <w:tc>
          <w:tcPr>
            <w:tcW w:type="dxa" w:w="2074"/>
            <w:vAlign w:val="centre"/>
            <w:tcMar>
              <w:top w:w="80" w:type="dxa"/>
              <w:start w:w="80" w:type="dxa"/>
              <w:bottom w:w="80" w:type="dxa"/>
              <w:end w:w="80" w:type="dxa"/>
            </w:tcMar>
          </w:tcPr>
          <w:p>
            <w:r>
              <w:t>People without digital access</w:t>
            </w:r>
          </w:p>
        </w:tc>
        <w:tc>
          <w:tcPr>
            <w:tcW w:type="dxa" w:w="2074"/>
            <w:vAlign w:val="centre"/>
            <w:tcMar>
              <w:top w:w="80" w:type="dxa"/>
              <w:start w:w="80" w:type="dxa"/>
              <w:bottom w:w="80" w:type="dxa"/>
              <w:end w:w="80" w:type="dxa"/>
            </w:tcMar>
          </w:tcPr>
          <w:p>
            <w:r>
              <w:t>Potential missing data, lower digital access, or different service pathways.</w:t>
            </w:r>
          </w:p>
        </w:tc>
        <w:tc>
          <w:tcPr>
            <w:tcW w:type="dxa" w:w="2074"/>
            <w:vAlign w:val="centre"/>
            <w:tcMar>
              <w:top w:w="80" w:type="dxa"/>
              <w:start w:w="80" w:type="dxa"/>
              <w:bottom w:w="80" w:type="dxa"/>
              <w:end w:w="80" w:type="dxa"/>
            </w:tcMar>
          </w:tcPr>
          <w:p>
            <w:r>
              <w:t>Under-identification, reduced access to follow-up, or shifted burden.</w:t>
            </w:r>
          </w:p>
        </w:tc>
        <w:tc>
          <w:tcPr>
            <w:tcW w:type="dxa" w:w="2074"/>
            <w:vAlign w:val="centre"/>
            <w:tcMar>
              <w:top w:w="80" w:type="dxa"/>
              <w:start w:w="80" w:type="dxa"/>
              <w:bottom w:w="80" w:type="dxa"/>
              <w:end w:w="80" w:type="dxa"/>
            </w:tcMar>
          </w:tcPr>
          <w:p>
            <w:r>
              <w:t>Subgroup validation, alternative access channel, targeted support, and threshold review.</w:t>
            </w:r>
          </w:p>
        </w:tc>
        <w:tc>
          <w:tcPr>
            <w:tcW w:type="dxa" w:w="2074"/>
            <w:vAlign w:val="centre"/>
            <w:tcMar>
              <w:top w:w="80" w:type="dxa"/>
              <w:start w:w="80" w:type="dxa"/>
              <w:bottom w:w="80" w:type="dxa"/>
              <w:end w:w="80" w:type="dxa"/>
            </w:tcMar>
          </w:tcPr>
          <w:p>
            <w:r>
              <w:t>Calibration, intervention rate, follow-up completion, and outcome by group.</w:t>
            </w:r>
          </w:p>
        </w:tc>
      </w:tr>
      <w:tr>
        <w:tc>
          <w:tcPr>
            <w:tcW w:type="dxa" w:w="2074"/>
            <w:vAlign w:val="centre"/>
            <w:tcMar>
              <w:top w:w="80" w:type="dxa"/>
              <w:start w:w="80" w:type="dxa"/>
              <w:bottom w:w="80" w:type="dxa"/>
              <w:end w:w="80" w:type="dxa"/>
            </w:tcMar>
          </w:tcPr>
          <w:p>
            <w:r>
              <w:t>Clinically underrepresented groups</w:t>
            </w:r>
          </w:p>
        </w:tc>
        <w:tc>
          <w:tcPr>
            <w:tcW w:type="dxa" w:w="2074"/>
            <w:vAlign w:val="centre"/>
            <w:tcMar>
              <w:top w:w="80" w:type="dxa"/>
              <w:start w:w="80" w:type="dxa"/>
              <w:bottom w:w="80" w:type="dxa"/>
              <w:end w:w="80" w:type="dxa"/>
            </w:tcMar>
          </w:tcPr>
          <w:p>
            <w:r>
              <w:t>Potential missing data, lower digital access, or different service pathways.</w:t>
            </w:r>
          </w:p>
        </w:tc>
        <w:tc>
          <w:tcPr>
            <w:tcW w:type="dxa" w:w="2074"/>
            <w:vAlign w:val="centre"/>
            <w:tcMar>
              <w:top w:w="80" w:type="dxa"/>
              <w:start w:w="80" w:type="dxa"/>
              <w:bottom w:w="80" w:type="dxa"/>
              <w:end w:w="80" w:type="dxa"/>
            </w:tcMar>
          </w:tcPr>
          <w:p>
            <w:r>
              <w:t>Under-identification, reduced access to follow-up, or shifted burden.</w:t>
            </w:r>
          </w:p>
        </w:tc>
        <w:tc>
          <w:tcPr>
            <w:tcW w:type="dxa" w:w="2074"/>
            <w:vAlign w:val="centre"/>
            <w:tcMar>
              <w:top w:w="80" w:type="dxa"/>
              <w:start w:w="80" w:type="dxa"/>
              <w:bottom w:w="80" w:type="dxa"/>
              <w:end w:w="80" w:type="dxa"/>
            </w:tcMar>
          </w:tcPr>
          <w:p>
            <w:r>
              <w:t>Subgroup validation, alternative access channel, targeted support, and threshold review.</w:t>
            </w:r>
          </w:p>
        </w:tc>
        <w:tc>
          <w:tcPr>
            <w:tcW w:type="dxa" w:w="2074"/>
            <w:vAlign w:val="centre"/>
            <w:tcMar>
              <w:top w:w="80" w:type="dxa"/>
              <w:start w:w="80" w:type="dxa"/>
              <w:bottom w:w="80" w:type="dxa"/>
              <w:end w:w="80" w:type="dxa"/>
            </w:tcMar>
          </w:tcPr>
          <w:p>
            <w:r>
              <w:t>Calibration, intervention rate, follow-up completion, and outcome by group.</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AIHE-AC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