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Public Transparency and Communication Record</w:t>
      </w:r>
    </w:p>
    <w:p>
      <w:pPr>
        <w:jc w:val="centre"/>
      </w:pPr>
      <w:r>
        <w:rPr>
          <w:b/>
          <w:color w:val="7A2334"/>
        </w:rPr>
        <w:t>AIHE-C05</w:t>
      </w:r>
    </w:p>
    <w:p>
      <w:pPr>
        <w:spacing w:after="40"/>
      </w:pPr>
      <w:r>
        <w:rPr>
          <w:b/>
        </w:rPr>
        <w:t xml:space="preserve">Primary chapter: </w:t>
      </w:r>
      <w:r>
        <w:t>10 — Governance, Accountability, and Institutional Risk</w:t>
      </w:r>
    </w:p>
    <w:p>
      <w:pPr>
        <w:spacing w:after="40"/>
      </w:pPr>
      <w:r>
        <w:rPr>
          <w:b/>
        </w:rPr>
        <w:t xml:space="preserve">Additional chapter alignment: </w:t>
      </w:r>
      <w:r>
        <w:t>3, 10, 12</w:t>
      </w:r>
    </w:p>
    <w:p>
      <w:pPr>
        <w:spacing w:after="40"/>
      </w:pPr>
      <w:r>
        <w:rPr>
          <w:b/>
        </w:rPr>
        <w:t xml:space="preserve">Legacy aliases: </w:t>
      </w:r>
      <w:r>
        <w:t>AIHE-EX13</w:t>
      </w:r>
    </w:p>
    <w:p>
      <w:pPr>
        <w:spacing w:after="40"/>
      </w:pPr>
      <w:r>
        <w:rPr>
          <w:b/>
        </w:rPr>
        <w:t xml:space="preserve">Version: </w:t>
      </w:r>
      <w:r>
        <w:t>V1.0</w:t>
      </w:r>
    </w:p>
    <w:p>
      <w:pPr>
        <w:pStyle w:val="Heading1"/>
      </w:pPr>
      <w:r>
        <w:t>Purpose</w:t>
      </w:r>
    </w:p>
    <w:p>
      <w:r>
        <w:t>Define accurate, accessible communication about intended use, limitations, oversight, data, complaints, incidents, and alternatives.</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5040"/>
        <w:gridCol w:w="5040"/>
      </w:tblGrid>
      <w:tr>
        <w:trPr>
          <w:tblHeader w:val="true"/>
        </w:trPr>
        <w:tc>
          <w:tcPr>
            <w:tcW w:type="dxa" w:w="5040"/>
            <w:shd w:fill="7A2334"/>
          </w:tcPr>
          <w:p>
            <w:r>
              <w:rPr>
                <w:b/>
                <w:color w:val="FFFFFF"/>
                <w:sz w:val="18"/>
              </w:rPr>
              <w:t>Communication element</w:t>
            </w:r>
          </w:p>
        </w:tc>
        <w:tc>
          <w:tcPr>
            <w:tcW w:type="dxa" w:w="5040"/>
            <w:shd w:fill="7A2334"/>
          </w:tcPr>
          <w:p>
            <w:r>
              <w:rPr>
                <w:b/>
                <w:color w:val="FFFFFF"/>
                <w:sz w:val="18"/>
              </w:rPr>
              <w:t>Approved content, channel, owner, and review</w:t>
            </w:r>
          </w:p>
        </w:tc>
      </w:tr>
      <w:tr>
        <w:tc>
          <w:tcPr>
            <w:tcW w:type="dxa" w:w="5040"/>
            <w:vAlign w:val="top"/>
            <w:shd w:fill="F2E8EB"/>
          </w:tcPr>
          <w:p>
            <w:r>
              <w:rPr>
                <w:sz w:val="17"/>
              </w:rPr>
              <w:t>Purpose and intended use</w:t>
            </w:r>
          </w:p>
        </w:tc>
        <w:tc>
          <w:tcPr>
            <w:tcW w:type="dxa" w:w="5040"/>
            <w:vAlign w:val="top"/>
          </w:tcPr>
          <w:p>
            <w:r>
              <w:rPr>
                <w:sz w:val="17"/>
              </w:rPr>
            </w:r>
          </w:p>
        </w:tc>
      </w:tr>
      <w:tr>
        <w:tc>
          <w:tcPr>
            <w:tcW w:type="dxa" w:w="5040"/>
            <w:vAlign w:val="top"/>
            <w:shd w:fill="F2E8EB"/>
          </w:tcPr>
          <w:p>
            <w:r>
              <w:rPr>
                <w:sz w:val="17"/>
              </w:rPr>
              <w:t>What the system does and does not do</w:t>
            </w:r>
          </w:p>
        </w:tc>
        <w:tc>
          <w:tcPr>
            <w:tcW w:type="dxa" w:w="5040"/>
            <w:vAlign w:val="top"/>
          </w:tcPr>
          <w:p>
            <w:r>
              <w:rPr>
                <w:sz w:val="17"/>
              </w:rPr>
            </w:r>
          </w:p>
        </w:tc>
      </w:tr>
      <w:tr>
        <w:tc>
          <w:tcPr>
            <w:tcW w:type="dxa" w:w="5040"/>
            <w:vAlign w:val="top"/>
            <w:shd w:fill="F2E8EB"/>
          </w:tcPr>
          <w:p>
            <w:r>
              <w:rPr>
                <w:sz w:val="17"/>
              </w:rPr>
              <w:t>Role of human review and accountability</w:t>
            </w:r>
          </w:p>
        </w:tc>
        <w:tc>
          <w:tcPr>
            <w:tcW w:type="dxa" w:w="5040"/>
            <w:vAlign w:val="top"/>
          </w:tcPr>
          <w:p>
            <w:r>
              <w:rPr>
                <w:sz w:val="17"/>
              </w:rPr>
            </w:r>
          </w:p>
        </w:tc>
      </w:tr>
      <w:tr>
        <w:tc>
          <w:tcPr>
            <w:tcW w:type="dxa" w:w="5040"/>
            <w:vAlign w:val="top"/>
            <w:shd w:fill="F2E8EB"/>
          </w:tcPr>
          <w:p>
            <w:r>
              <w:rPr>
                <w:sz w:val="17"/>
              </w:rPr>
              <w:t>Data use, privacy, retention, and external providers</w:t>
            </w:r>
          </w:p>
        </w:tc>
        <w:tc>
          <w:tcPr>
            <w:tcW w:type="dxa" w:w="5040"/>
            <w:vAlign w:val="top"/>
          </w:tcPr>
          <w:p>
            <w:r>
              <w:rPr>
                <w:sz w:val="17"/>
              </w:rPr>
            </w:r>
          </w:p>
        </w:tc>
      </w:tr>
      <w:tr>
        <w:tc>
          <w:tcPr>
            <w:tcW w:type="dxa" w:w="5040"/>
            <w:vAlign w:val="top"/>
            <w:shd w:fill="F2E8EB"/>
          </w:tcPr>
          <w:p>
            <w:r>
              <w:rPr>
                <w:sz w:val="17"/>
              </w:rPr>
              <w:t>Known limitations, uncertainty, and subgroup concerns</w:t>
            </w:r>
          </w:p>
        </w:tc>
        <w:tc>
          <w:tcPr>
            <w:tcW w:type="dxa" w:w="5040"/>
            <w:vAlign w:val="top"/>
          </w:tcPr>
          <w:p>
            <w:r>
              <w:rPr>
                <w:sz w:val="17"/>
              </w:rPr>
            </w:r>
          </w:p>
        </w:tc>
      </w:tr>
      <w:tr>
        <w:tc>
          <w:tcPr>
            <w:tcW w:type="dxa" w:w="5040"/>
            <w:vAlign w:val="top"/>
            <w:shd w:fill="F2E8EB"/>
          </w:tcPr>
          <w:p>
            <w:r>
              <w:rPr>
                <w:sz w:val="17"/>
              </w:rPr>
              <w:t>Accessibility, language, disability, and non-digital alternatives</w:t>
            </w:r>
          </w:p>
        </w:tc>
        <w:tc>
          <w:tcPr>
            <w:tcW w:type="dxa" w:w="5040"/>
            <w:vAlign w:val="top"/>
          </w:tcPr>
          <w:p>
            <w:r>
              <w:rPr>
                <w:sz w:val="17"/>
              </w:rPr>
            </w:r>
          </w:p>
        </w:tc>
      </w:tr>
      <w:tr>
        <w:tc>
          <w:tcPr>
            <w:tcW w:type="dxa" w:w="5040"/>
            <w:vAlign w:val="top"/>
            <w:shd w:fill="F2E8EB"/>
          </w:tcPr>
          <w:p>
            <w:r>
              <w:rPr>
                <w:sz w:val="17"/>
              </w:rPr>
              <w:t>Questions, complaints, contestability, and incident communication</w:t>
            </w:r>
          </w:p>
        </w:tc>
        <w:tc>
          <w:tcPr>
            <w:tcW w:type="dxa" w:w="5040"/>
            <w:vAlign w:val="top"/>
          </w:tcPr>
          <w:p>
            <w:r>
              <w:rPr>
                <w:sz w:val="17"/>
              </w:rPr>
            </w:r>
          </w:p>
        </w:tc>
      </w:tr>
      <w:tr>
        <w:tc>
          <w:tcPr>
            <w:tcW w:type="dxa" w:w="5040"/>
            <w:vAlign w:val="top"/>
            <w:shd w:fill="F2E8EB"/>
          </w:tcPr>
          <w:p>
            <w:r>
              <w:rPr>
                <w:sz w:val="17"/>
              </w:rPr>
              <w:t>Material changes, suspension, and retirement</w:t>
            </w:r>
          </w:p>
        </w:tc>
        <w:tc>
          <w:tcPr>
            <w:tcW w:type="dxa" w:w="5040"/>
            <w:vAlign w:val="top"/>
          </w:tcPr>
          <w:p>
            <w:r>
              <w:rPr>
                <w:sz w:val="17"/>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5040"/>
        <w:gridCol w:w="5040"/>
      </w:tblGrid>
      <w:tr>
        <w:trPr>
          <w:tblHeader w:val="true"/>
        </w:trPr>
        <w:tc>
          <w:tcPr>
            <w:tcW w:type="dxa" w:w="5040"/>
            <w:shd w:fill="52565A"/>
          </w:tcPr>
          <w:p>
            <w:r>
              <w:rPr>
                <w:b/>
                <w:color w:val="FFFFFF"/>
                <w:sz w:val="18"/>
              </w:rPr>
              <w:t>Communication element</w:t>
            </w:r>
          </w:p>
        </w:tc>
        <w:tc>
          <w:tcPr>
            <w:tcW w:type="dxa" w:w="5040"/>
            <w:shd w:fill="52565A"/>
          </w:tcPr>
          <w:p>
            <w:r>
              <w:rPr>
                <w:b/>
                <w:color w:val="FFFFFF"/>
                <w:sz w:val="18"/>
              </w:rPr>
              <w:t>Approved content, channel, owner, and review</w:t>
            </w:r>
          </w:p>
        </w:tc>
      </w:tr>
      <w:tr>
        <w:tc>
          <w:tcPr>
            <w:tcW w:type="dxa" w:w="5040"/>
            <w:vAlign w:val="top"/>
            <w:shd w:fill="EFEFEF"/>
          </w:tcPr>
          <w:p>
            <w:r>
              <w:rPr>
                <w:sz w:val="17"/>
              </w:rPr>
              <w:t>Purpose and intended use</w:t>
            </w:r>
          </w:p>
        </w:tc>
        <w:tc>
          <w:tcPr>
            <w:tcW w:type="dxa" w:w="5040"/>
            <w:vAlign w:val="top"/>
          </w:tcPr>
          <w:p>
            <w:r>
              <w:rPr>
                <w:sz w:val="17"/>
              </w:rPr>
              <w:t>Clinical service lead</w:t>
            </w:r>
          </w:p>
        </w:tc>
      </w:tr>
      <w:tr>
        <w:tc>
          <w:tcPr>
            <w:tcW w:type="dxa" w:w="5040"/>
            <w:vAlign w:val="top"/>
            <w:shd w:fill="EFEFEF"/>
          </w:tcPr>
          <w:p>
            <w:r>
              <w:rPr>
                <w:sz w:val="17"/>
              </w:rPr>
              <w:t>What the system does and does not do</w:t>
            </w:r>
          </w:p>
        </w:tc>
        <w:tc>
          <w:tcPr>
            <w:tcW w:type="dxa" w:w="5040"/>
            <w:vAlign w:val="top"/>
          </w:tcPr>
          <w:p>
            <w:r>
              <w:rPr>
                <w:sz w:val="17"/>
              </w:rPr>
              <w:t>Quality lead</w:t>
            </w:r>
          </w:p>
        </w:tc>
      </w:tr>
      <w:tr>
        <w:tc>
          <w:tcPr>
            <w:tcW w:type="dxa" w:w="5040"/>
            <w:vAlign w:val="top"/>
            <w:shd w:fill="EFEFEF"/>
          </w:tcPr>
          <w:p>
            <w:r>
              <w:rPr>
                <w:sz w:val="17"/>
              </w:rPr>
              <w:t>Role of human review and accountability</w:t>
            </w:r>
          </w:p>
        </w:tc>
        <w:tc>
          <w:tcPr>
            <w:tcW w:type="dxa" w:w="5040"/>
            <w:vAlign w:val="top"/>
          </w:tcPr>
          <w:p>
            <w:r>
              <w:rPr>
                <w:sz w:val="17"/>
              </w:rPr>
              <w:t>Data steward</w:t>
            </w:r>
          </w:p>
        </w:tc>
      </w:tr>
      <w:tr>
        <w:tc>
          <w:tcPr>
            <w:tcW w:type="dxa" w:w="5040"/>
            <w:vAlign w:val="top"/>
            <w:shd w:fill="EFEFEF"/>
          </w:tcPr>
          <w:p>
            <w:r>
              <w:rPr>
                <w:sz w:val="17"/>
              </w:rPr>
              <w:t>Data use, privacy, retention, and external providers</w:t>
            </w:r>
          </w:p>
        </w:tc>
        <w:tc>
          <w:tcPr>
            <w:tcW w:type="dxa" w:w="5040"/>
            <w:vAlign w:val="top"/>
          </w:tcPr>
          <w:p>
            <w:r>
              <w:rPr>
                <w:sz w:val="17"/>
              </w:rPr>
              <w:t>Health economist</w:t>
            </w:r>
          </w:p>
        </w:tc>
      </w:tr>
      <w:tr>
        <w:tc>
          <w:tcPr>
            <w:tcW w:type="dxa" w:w="5040"/>
            <w:vAlign w:val="top"/>
            <w:shd w:fill="EFEFEF"/>
          </w:tcPr>
          <w:p>
            <w:r>
              <w:rPr>
                <w:sz w:val="17"/>
              </w:rPr>
              <w:t>Known limitations, uncertainty, and subgroup concerns</w:t>
            </w:r>
          </w:p>
        </w:tc>
        <w:tc>
          <w:tcPr>
            <w:tcW w:type="dxa" w:w="5040"/>
            <w:vAlign w:val="top"/>
          </w:tcPr>
          <w:p>
            <w:r>
              <w:rPr>
                <w:sz w:val="17"/>
              </w:rPr>
              <w:t>Procurement lead</w:t>
            </w:r>
          </w:p>
        </w:tc>
      </w:tr>
      <w:tr>
        <w:tc>
          <w:tcPr>
            <w:tcW w:type="dxa" w:w="5040"/>
            <w:vAlign w:val="top"/>
            <w:shd w:fill="EFEFEF"/>
          </w:tcPr>
          <w:p>
            <w:r>
              <w:rPr>
                <w:sz w:val="17"/>
              </w:rPr>
              <w:t>Accessibility, language, disability, and non-digital alternatives</w:t>
            </w:r>
          </w:p>
        </w:tc>
        <w:tc>
          <w:tcPr>
            <w:tcW w:type="dxa" w:w="5040"/>
            <w:vAlign w:val="top"/>
          </w:tcPr>
          <w:p>
            <w:r>
              <w:rPr>
                <w:sz w:val="17"/>
              </w:rPr>
              <w:t>Clinical service lead</w:t>
            </w:r>
          </w:p>
        </w:tc>
      </w:tr>
      <w:tr>
        <w:tc>
          <w:tcPr>
            <w:tcW w:type="dxa" w:w="5040"/>
            <w:vAlign w:val="top"/>
            <w:shd w:fill="EFEFEF"/>
          </w:tcPr>
          <w:p>
            <w:r>
              <w:rPr>
                <w:sz w:val="17"/>
              </w:rPr>
              <w:t>Questions, complaints, contestability, and incident communication</w:t>
            </w:r>
          </w:p>
        </w:tc>
        <w:tc>
          <w:tcPr>
            <w:tcW w:type="dxa" w:w="5040"/>
            <w:vAlign w:val="top"/>
          </w:tcPr>
          <w:p>
            <w:r>
              <w:rPr>
                <w:sz w:val="17"/>
              </w:rPr>
              <w:t>Quality lead</w:t>
            </w:r>
          </w:p>
        </w:tc>
      </w:tr>
      <w:tr>
        <w:tc>
          <w:tcPr>
            <w:tcW w:type="dxa" w:w="5040"/>
            <w:vAlign w:val="top"/>
            <w:shd w:fill="EFEFEF"/>
          </w:tcPr>
          <w:p>
            <w:r>
              <w:rPr>
                <w:sz w:val="17"/>
              </w:rPr>
              <w:t>Material changes, suspension, and retirement</w:t>
            </w:r>
          </w:p>
        </w:tc>
        <w:tc>
          <w:tcPr>
            <w:tcW w:type="dxa" w:w="5040"/>
            <w:vAlign w:val="top"/>
          </w:tcPr>
          <w:p>
            <w:r>
              <w:rPr>
                <w:sz w:val="17"/>
              </w:rPr>
              <w:t>Data steward</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AIHE-C05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