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Reporting and Appraisal Tool Selection Guide</w:t>
      </w:r>
    </w:p>
    <w:p>
      <w:pPr>
        <w:jc w:val="centre"/>
      </w:pPr>
      <w:r>
        <w:rPr>
          <w:b/>
          <w:color w:val="7A2334"/>
        </w:rPr>
        <w:t>AIHE-RG02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Match evidence type and study stage to current reporting and appraisal instruments without treating checklist completion as proof of validity, effectiveness, or regulatory conformity.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Evidence or study type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Reporting instrument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Appraisal or complementary approach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does not establish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checked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Reviewer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Local evidence gap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Prediction model development or validation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TRIPOD+AI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PROBAST+AI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AI-updated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reporting and risk-of-bias/applicability assessment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usefulness or adoption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Diagnostic accuracy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STARD-AI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Reference-standard and applicability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AI-specific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diagnostic AI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Regulatory conformity or clinical utility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Early live clinical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DECIDE-AI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safety, workflow, human-factors and economic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early-stage live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Approval for unrestricted deployment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protocol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SPIRIT-AI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Protocol feasibility and intervention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protocol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Trial quality or successful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results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CONSORT-AI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Risk-of-bias, applicability and economic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Cost-effectiveness or local transferability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Economic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CHEERS 2022 / CHEERS-AI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Method, model validation and uncertainty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economic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Methodological appropriateness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Systematic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PRISMA 2020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Design-specific bias and 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review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Reliability of included evidence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Qualitative evidence synthesis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Review-specific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Established confidence-appraisal approach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confidence judgements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Quantitative effect size or causal proof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AIHE-RG02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