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Diagnostic and Predictive Evidence Appraisal Checklist</w:t>
      </w:r>
    </w:p>
    <w:p>
      <w:pPr>
        <w:jc w:val="centre"/>
      </w:pPr>
      <w:r>
        <w:rPr>
          <w:b/>
          <w:color w:val="7A2334"/>
        </w:rPr>
        <w:t>AIHE-RG06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3, 7, 8, 11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Appraise reference standards, index tests, data partitions, calibration, diagnostic accuracy, bias, subgroup performance, clinical utility, and downstream resource consequences.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Appraisal question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Evidence reviewed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Judgement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Material uncertainty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Required local evidence or safeguard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Decision consequence</w:t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Intended use and pathway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decision, user, population, timing, action and comparator explicit?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Dataset construction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selection, exclusions, missingness, partitions and leakage addressed?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Model or index test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exact version, preprocessing, threshold and output defined?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Reference standard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it appropriate, independent, consistent and blinded where feasible?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task-appropriate metrics and uncertainty reported?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Calibration and thresholds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calibration and threshold-specific consequences evaluated?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Transportability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evidence represent the intended local context?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Subgroups and equity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performance, access and consequences assessed across relevant groups?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Human-AI performance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acceptance, override, review burden and error correction measured?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Clinical utility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system improve decisions or outcomes versus realistic alternatives?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Economic consequences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downstream resource, cost and budget consequences included?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Lifecycle evidence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monitoring, drift, update and incident plans credible?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AIHE-RG06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