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AIHE-D02 - Lifecycle Decision State, Staged Evidence, and AI-HED Status</w:t>
      </w:r>
    </w:p>
    <w:p>
      <w:r>
        <w:rPr>
          <w:b/>
        </w:rPr>
        <w:t>Chapter 12: Decision Architecture and Lifecycle Governance</w:t>
      </w:r>
    </w:p>
    <w:p>
      <w:r>
        <w:t>Control increasing commitment through problem, readiness, evidence, local validation, economics, pilot, scale, renewal, and retirement gates.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AIHE-D02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Decision identity</w:t>
            </w:r>
          </w:p>
        </w:tc>
        <w:tc>
          <w:tcPr>
            <w:tcW w:type="dxa" w:w="2556"/>
            <w:vAlign w:val="top"/>
          </w:tcPr>
          <w:p>
            <w:r>
              <w:t>Intervention, product, model, configuration, data, workflow, and version</w:t>
            </w:r>
          </w:p>
        </w:tc>
        <w:tc>
          <w:tcPr>
            <w:tcW w:type="dxa" w:w="2556"/>
            <w:vAlign w:val="top"/>
          </w:tcPr>
          <w:p>
            <w:r>
              <w:t>A decision must have a stable identity.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Current state</w:t>
            </w:r>
          </w:p>
        </w:tc>
        <w:tc>
          <w:tcPr>
            <w:tcW w:type="dxa" w:w="2556"/>
            <w:vAlign w:val="top"/>
          </w:tcPr>
          <w:p>
            <w:r>
              <w:t>Exploratory, retrospective evaluation, silent evaluation, pilot, conditionally authorized, authorized, restricted, suspended, replacement in progress, retired</w:t>
            </w:r>
          </w:p>
        </w:tc>
        <w:tc>
          <w:tcPr>
            <w:tcW w:type="dxa" w:w="2556"/>
            <w:vAlign w:val="top"/>
          </w:tcPr>
          <w:p>
            <w:r>
              <w:t>Authorization is a current state.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State scope</w:t>
            </w:r>
          </w:p>
        </w:tc>
        <w:tc>
          <w:tcPr>
            <w:tcW w:type="dxa" w:w="2556"/>
            <w:vAlign w:val="top"/>
          </w:tcPr>
          <w:p>
            <w:r>
              <w:t>Population, setting, users, functions, exclusions, and effective date</w:t>
            </w:r>
          </w:p>
        </w:tc>
        <w:tc>
          <w:tcPr>
            <w:tcW w:type="dxa" w:w="2556"/>
            <w:vAlign w:val="top"/>
          </w:tcPr>
          <w:p>
            <w:r>
              <w:t>Define the boundary of authorization.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Conditions</w:t>
            </w:r>
          </w:p>
        </w:tc>
        <w:tc>
          <w:tcPr>
            <w:tcW w:type="dxa" w:w="2556"/>
            <w:vAlign w:val="top"/>
          </w:tcPr>
          <w:p>
            <w:r>
              <w:t>Mandatory safeguards, use conditions, and unresolved uncertainty</w:t>
            </w:r>
          </w:p>
        </w:tc>
        <w:tc>
          <w:tcPr>
            <w:tcW w:type="dxa" w:w="2556"/>
            <w:vAlign w:val="top"/>
          </w:tcPr>
          <w:p>
            <w:r>
              <w:t>Do not collapse specialist evidence into one score.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Evidence status</w:t>
            </w:r>
          </w:p>
        </w:tc>
        <w:tc>
          <w:tcPr>
            <w:tcW w:type="dxa" w:w="2556"/>
            <w:vAlign w:val="top"/>
          </w:tcPr>
          <w:p>
            <w:r>
              <w:t>Authoritative evidence records and evidence cut-off</w:t>
            </w:r>
          </w:p>
        </w:tc>
        <w:tc>
          <w:tcPr>
            <w:tcW w:type="dxa" w:w="2556"/>
            <w:vAlign w:val="top"/>
          </w:tcPr>
          <w:p>
            <w:r>
              <w:t>Link the state to current evidence.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Triggers</w:t>
            </w:r>
          </w:p>
        </w:tc>
        <w:tc>
          <w:tcPr>
            <w:tcW w:type="dxa" w:w="2556"/>
            <w:vAlign w:val="top"/>
          </w:tcPr>
          <w:p>
            <w:r>
              <w:t>Open monitoring, incident, change, contract, cost, equity, or support triggers</w:t>
            </w:r>
          </w:p>
        </w:tc>
        <w:tc>
          <w:tcPr>
            <w:tcW w:type="dxa" w:w="2556"/>
            <w:vAlign w:val="top"/>
          </w:tcPr>
          <w:p>
            <w:r>
              <w:t>State default response.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Authority</w:t>
            </w:r>
          </w:p>
        </w:tc>
        <w:tc>
          <w:tcPr>
            <w:tcW w:type="dxa" w:w="2556"/>
            <w:vAlign w:val="top"/>
          </w:tcPr>
          <w:p>
            <w:r>
              <w:t>Decision authority, dissent, conflicts, and decision date</w:t>
            </w:r>
          </w:p>
        </w:tc>
        <w:tc>
          <w:tcPr>
            <w:tcW w:type="dxa" w:w="2556"/>
            <w:vAlign w:val="top"/>
          </w:tcPr>
          <w:p>
            <w:r>
              <w:t>Preserve provenance.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Review</w:t>
            </w:r>
          </w:p>
        </w:tc>
        <w:tc>
          <w:tcPr>
            <w:tcW w:type="dxa" w:w="2556"/>
            <w:vAlign w:val="top"/>
          </w:tcPr>
          <w:p>
            <w:r>
              <w:t>Next review date and evidence required</w:t>
            </w:r>
          </w:p>
        </w:tc>
        <w:tc>
          <w:tcPr>
            <w:tcW w:type="dxa" w:w="2556"/>
            <w:vAlign w:val="top"/>
          </w:tcPr>
          <w:p>
            <w:r>
              <w:t>Keep the judgement current.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History</w:t>
            </w:r>
          </w:p>
        </w:tc>
        <w:tc>
          <w:tcPr>
            <w:tcW w:type="dxa" w:w="2556"/>
            <w:vAlign w:val="top"/>
          </w:tcPr>
          <w:p>
            <w:r>
              <w:t>Previous state, transition date, reason, evidence, and authority</w:t>
            </w:r>
          </w:p>
        </w:tc>
        <w:tc>
          <w:tcPr>
            <w:tcW w:type="dxa" w:w="2556"/>
            <w:vAlign w:val="top"/>
          </w:tcPr>
          <w:p>
            <w:r>
              <w:t>Maintain a versioned decision history.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AIHE-D02 - Lifecycle Decision State, Staged Evidence, and AI-HED Status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