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Post-Deployment Monitoring and Algorithmovigilance Cadence</w:t>
      </w:r>
    </w:p>
    <w:p>
      <w:pPr>
        <w:jc w:val="centre"/>
      </w:pPr>
      <w:r>
        <w:rPr>
          <w:b/>
          <w:color w:val="7A2334"/>
        </w:rPr>
        <w:t>AIHE-D03</w:t>
      </w:r>
    </w:p>
    <w:p>
      <w:pPr>
        <w:spacing w:after="40"/>
      </w:pPr>
      <w:r>
        <w:rPr>
          <w:b/>
        </w:rPr>
        <w:t xml:space="preserve">Primary chapter: </w:t>
      </w:r>
      <w:r>
        <w:t>12 — Decision Architecture and Lifecycle Governance</w:t>
      </w:r>
    </w:p>
    <w:p>
      <w:pPr>
        <w:spacing w:after="40"/>
      </w:pPr>
      <w:r>
        <w:rPr>
          <w:b/>
        </w:rPr>
        <w:t xml:space="preserve">Additional chapter alignment: </w:t>
      </w:r>
      <w:r>
        <w:t>5, 11, 12</w:t>
      </w:r>
    </w:p>
    <w:p>
      <w:pPr>
        <w:spacing w:after="40"/>
      </w:pPr>
      <w:r>
        <w:rPr>
          <w:b/>
        </w:rPr>
        <w:t xml:space="preserve">Legacy aliases: </w:t>
      </w:r>
      <w:r>
        <w:t>AIHE-S</w:t>
      </w:r>
    </w:p>
    <w:p>
      <w:pPr>
        <w:spacing w:after="40"/>
      </w:pPr>
      <w:r>
        <w:t>Version: V1.0</w:t>
      </w:r>
    </w:p>
    <w:p>
      <w:pPr>
        <w:pStyle w:val="Heading1"/>
      </w:pPr>
      <w:r>
        <w:t>Purpose</w:t>
      </w:r>
    </w:p>
    <w:p>
      <w:r>
        <w:t>Define recurring and event-triggered surveillance across technical, workflow, safety, equity, economic, and contractual domains.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Frequency</w:t>
            </w:r>
          </w:p>
        </w:tc>
        <w:tc>
          <w:tcPr>
            <w:tcW w:type="dxa" w:w="2520"/>
            <w:shd w:fill="7A2334"/>
          </w:tcPr>
          <w:p>
            <w:r>
              <w:rPr>
                <w:b/>
                <w:color w:val="FFFFFF"/>
                <w:sz w:val="18"/>
              </w:rPr>
              <w:t>Purpose</w:t>
            </w:r>
          </w:p>
        </w:tc>
        <w:tc>
          <w:tcPr>
            <w:tcW w:type="dxa" w:w="2520"/>
            <w:shd w:fill="7A2334"/>
          </w:tcPr>
          <w:p>
            <w:r>
              <w:rPr>
                <w:b/>
                <w:color w:val="FFFFFF"/>
                <w:sz w:val="18"/>
              </w:rPr>
              <w:t>Minimum review content</w:t>
            </w:r>
          </w:p>
        </w:tc>
        <w:tc>
          <w:tcPr>
            <w:tcW w:type="dxa" w:w="2520"/>
            <w:shd w:fill="7A2334"/>
          </w:tcPr>
          <w:p>
            <w:r>
              <w:rPr>
                <w:b/>
                <w:color w:val="FFFFFF"/>
                <w:sz w:val="18"/>
              </w:rPr>
              <w:t>Owner or forum</w:t>
            </w:r>
          </w:p>
        </w:tc>
      </w:tr>
      <w:tr>
        <w:tc>
          <w:tcPr>
            <w:tcW w:type="dxa" w:w="2520"/>
            <w:vAlign w:val="top"/>
            <w:shd w:fill="F2E8EB"/>
          </w:tcPr>
          <w:p>
            <w:r>
              <w:rPr>
                <w:sz w:val="17"/>
              </w:rPr>
              <w:t>Continuous or daily</w:t>
            </w:r>
          </w:p>
        </w:tc>
        <w:tc>
          <w:tcPr>
            <w:tcW w:type="dxa" w:w="2520"/>
            <w:vAlign w:val="top"/>
          </w:tcPr>
          <w:p>
            <w:r>
              <w:rPr>
                <w:sz w:val="17"/>
              </w:rPr>
              <w:t>Technical integrity and immediate service protection</w:t>
            </w:r>
          </w:p>
        </w:tc>
        <w:tc>
          <w:tcPr>
            <w:tcW w:type="dxa" w:w="2520"/>
            <w:vAlign w:val="top"/>
          </w:tcPr>
          <w:p>
            <w:r>
              <w:rPr>
                <w:sz w:val="17"/>
              </w:rPr>
              <w:t>Availability, latency, interfaces, input completeness, deployed version, logging, cybersecurity alerts, and fallback</w:t>
            </w:r>
          </w:p>
        </w:tc>
        <w:tc>
          <w:tcPr>
            <w:tcW w:type="dxa" w:w="2520"/>
            <w:vAlign w:val="top"/>
          </w:tcPr>
          <w:p>
            <w:r>
              <w:rPr>
                <w:sz w:val="17"/>
              </w:rPr>
              <w:t>Technical operations and service owner</w:t>
            </w:r>
          </w:p>
        </w:tc>
      </w:tr>
      <w:tr>
        <w:tc>
          <w:tcPr>
            <w:tcW w:type="dxa" w:w="2520"/>
            <w:vAlign w:val="top"/>
            <w:shd w:fill="F2E8EB"/>
          </w:tcPr>
          <w:p>
            <w:r>
              <w:rPr>
                <w:sz w:val="17"/>
              </w:rPr>
              <w:t>Weekly during pilots or high-consequence use</w:t>
            </w:r>
          </w:p>
        </w:tc>
        <w:tc>
          <w:tcPr>
            <w:tcW w:type="dxa" w:w="2520"/>
            <w:vAlign w:val="top"/>
          </w:tcPr>
          <w:p>
            <w:r>
              <w:rPr>
                <w:sz w:val="17"/>
              </w:rPr>
              <w:t>Workflow and operational review</w:t>
            </w:r>
          </w:p>
        </w:tc>
        <w:tc>
          <w:tcPr>
            <w:tcW w:type="dxa" w:w="2520"/>
            <w:vAlign w:val="top"/>
          </w:tcPr>
          <w:p>
            <w:r>
              <w:rPr>
                <w:sz w:val="17"/>
              </w:rPr>
              <w:t>Output volume, action, overrides, delays, workarounds, review burden, near misses, and downstream capacity</w:t>
            </w:r>
          </w:p>
        </w:tc>
        <w:tc>
          <w:tcPr>
            <w:tcW w:type="dxa" w:w="2520"/>
            <w:vAlign w:val="top"/>
          </w:tcPr>
          <w:p>
            <w:r>
              <w:rPr>
                <w:sz w:val="17"/>
              </w:rPr>
              <w:t>Clinical and operational leads</w:t>
            </w:r>
          </w:p>
        </w:tc>
      </w:tr>
      <w:tr>
        <w:tc>
          <w:tcPr>
            <w:tcW w:type="dxa" w:w="2520"/>
            <w:vAlign w:val="top"/>
            <w:shd w:fill="F2E8EB"/>
          </w:tcPr>
          <w:p>
            <w:r>
              <w:rPr>
                <w:sz w:val="17"/>
              </w:rPr>
              <w:t>Monthly</w:t>
            </w:r>
          </w:p>
        </w:tc>
        <w:tc>
          <w:tcPr>
            <w:tcW w:type="dxa" w:w="2520"/>
            <w:vAlign w:val="top"/>
          </w:tcPr>
          <w:p>
            <w:r>
              <w:rPr>
                <w:sz w:val="17"/>
              </w:rPr>
              <w:t>Multidisciplinary safety and performance review</w:t>
            </w:r>
          </w:p>
        </w:tc>
        <w:tc>
          <w:tcPr>
            <w:tcW w:type="dxa" w:w="2520"/>
            <w:vAlign w:val="top"/>
          </w:tcPr>
          <w:p>
            <w:r>
              <w:rPr>
                <w:sz w:val="17"/>
              </w:rPr>
              <w:t>Technical and human–AI performance, outcomes, complaints, incidents, vendor notices, training, and corrective actions</w:t>
            </w:r>
          </w:p>
        </w:tc>
        <w:tc>
          <w:tcPr>
            <w:tcW w:type="dxa" w:w="2520"/>
            <w:vAlign w:val="top"/>
          </w:tcPr>
          <w:p>
            <w:r>
              <w:rPr>
                <w:sz w:val="17"/>
              </w:rPr>
              <w:t>Quality and AI-governance forum</w:t>
            </w:r>
          </w:p>
        </w:tc>
      </w:tr>
      <w:tr>
        <w:tc>
          <w:tcPr>
            <w:tcW w:type="dxa" w:w="2520"/>
            <w:vAlign w:val="top"/>
            <w:shd w:fill="F2E8EB"/>
          </w:tcPr>
          <w:p>
            <w:r>
              <w:rPr>
                <w:sz w:val="17"/>
              </w:rPr>
              <w:t>Quarterly or semi-annually</w:t>
            </w:r>
          </w:p>
        </w:tc>
        <w:tc>
          <w:tcPr>
            <w:tcW w:type="dxa" w:w="2520"/>
            <w:vAlign w:val="top"/>
          </w:tcPr>
          <w:p>
            <w:r>
              <w:rPr>
                <w:sz w:val="17"/>
              </w:rPr>
              <w:t>Distributional, workforce, and economic review</w:t>
            </w:r>
          </w:p>
        </w:tc>
        <w:tc>
          <w:tcPr>
            <w:tcW w:type="dxa" w:w="2520"/>
            <w:vAlign w:val="top"/>
          </w:tcPr>
          <w:p>
            <w:r>
              <w:rPr>
                <w:sz w:val="17"/>
              </w:rPr>
              <w:t>Subgroups, access, workload, adoption, lifecycle cost, benefit realization, budget impact, equity, and trust</w:t>
            </w:r>
          </w:p>
        </w:tc>
        <w:tc>
          <w:tcPr>
            <w:tcW w:type="dxa" w:w="2520"/>
            <w:vAlign w:val="top"/>
          </w:tcPr>
          <w:p>
            <w:r>
              <w:rPr>
                <w:sz w:val="17"/>
              </w:rPr>
              <w:t>Economics, quality, equity, workforce, and governance leads</w:t>
            </w:r>
          </w:p>
        </w:tc>
      </w:tr>
      <w:tr>
        <w:tc>
          <w:tcPr>
            <w:tcW w:type="dxa" w:w="2520"/>
            <w:vAlign w:val="top"/>
            <w:shd w:fill="F2E8EB"/>
          </w:tcPr>
          <w:p>
            <w:r>
              <w:rPr>
                <w:sz w:val="17"/>
              </w:rPr>
              <w:t>Annually</w:t>
            </w:r>
          </w:p>
        </w:tc>
        <w:tc>
          <w:tcPr>
            <w:tcW w:type="dxa" w:w="2520"/>
            <w:vAlign w:val="top"/>
          </w:tcPr>
          <w:p>
            <w:r>
              <w:rPr>
                <w:sz w:val="17"/>
              </w:rPr>
              <w:t>Formal renewal, restriction, replacement, or retirement</w:t>
            </w:r>
          </w:p>
        </w:tc>
        <w:tc>
          <w:tcPr>
            <w:tcW w:type="dxa" w:w="2520"/>
            <w:vAlign w:val="top"/>
          </w:tcPr>
          <w:p>
            <w:r>
              <w:rPr>
                <w:sz w:val="17"/>
              </w:rPr>
              <w:t>Current intended use, evidence, value, residual risk, contract, updates, alternatives, monitoring capacity, and exit readiness</w:t>
            </w:r>
          </w:p>
        </w:tc>
        <w:tc>
          <w:tcPr>
            <w:tcW w:type="dxa" w:w="2520"/>
            <w:vAlign w:val="top"/>
          </w:tcPr>
          <w:p>
            <w:r>
              <w:rPr>
                <w:sz w:val="17"/>
              </w:rPr>
              <w:t>Executive decision authority</w:t>
            </w:r>
          </w:p>
        </w:tc>
      </w:tr>
      <w:tr>
        <w:tc>
          <w:tcPr>
            <w:tcW w:type="dxa" w:w="2520"/>
            <w:vAlign w:val="top"/>
            <w:shd w:fill="F2E8EB"/>
          </w:tcPr>
          <w:p>
            <w:r>
              <w:rPr>
                <w:sz w:val="17"/>
              </w:rPr>
              <w:t>Event triggered</w:t>
            </w:r>
          </w:p>
        </w:tc>
        <w:tc>
          <w:tcPr>
            <w:tcW w:type="dxa" w:w="2520"/>
            <w:vAlign w:val="top"/>
          </w:tcPr>
          <w:p>
            <w:r>
              <w:rPr>
                <w:sz w:val="17"/>
              </w:rPr>
              <w:t>Material change or serious incident review</w:t>
            </w:r>
          </w:p>
        </w:tc>
        <w:tc>
          <w:tcPr>
            <w:tcW w:type="dxa" w:w="2520"/>
            <w:vAlign w:val="top"/>
          </w:tcPr>
          <w:p>
            <w:r>
              <w:rPr>
                <w:sz w:val="17"/>
              </w:rPr>
              <w:t>Model, data, threshold, interface, workflow, vendor, security, policy, population, price, or serious performance change</w:t>
            </w:r>
          </w:p>
        </w:tc>
        <w:tc>
          <w:tcPr>
            <w:tcW w:type="dxa" w:w="2520"/>
            <w:vAlign w:val="top"/>
          </w:tcPr>
          <w:p>
            <w:r>
              <w:rPr>
                <w:sz w:val="17"/>
              </w:rPr>
              <w:t>Named incident or change authority</w:t>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Frequency</w:t>
            </w:r>
          </w:p>
        </w:tc>
        <w:tc>
          <w:tcPr>
            <w:tcW w:type="dxa" w:w="2520"/>
            <w:shd w:fill="52565A"/>
          </w:tcPr>
          <w:p>
            <w:r>
              <w:rPr>
                <w:b/>
                <w:color w:val="FFFFFF"/>
                <w:sz w:val="18"/>
              </w:rPr>
              <w:t>Purpose</w:t>
            </w:r>
          </w:p>
        </w:tc>
        <w:tc>
          <w:tcPr>
            <w:tcW w:type="dxa" w:w="2520"/>
            <w:shd w:fill="52565A"/>
          </w:tcPr>
          <w:p>
            <w:r>
              <w:rPr>
                <w:b/>
                <w:color w:val="FFFFFF"/>
                <w:sz w:val="18"/>
              </w:rPr>
              <w:t>Minimum review content</w:t>
            </w:r>
          </w:p>
        </w:tc>
        <w:tc>
          <w:tcPr>
            <w:tcW w:type="dxa" w:w="2520"/>
            <w:shd w:fill="52565A"/>
          </w:tcPr>
          <w:p>
            <w:r>
              <w:rPr>
                <w:b/>
                <w:color w:val="FFFFFF"/>
                <w:sz w:val="18"/>
              </w:rPr>
              <w:t>Owner or forum</w:t>
            </w:r>
          </w:p>
        </w:tc>
      </w:tr>
      <w:tr>
        <w:tc>
          <w:tcPr>
            <w:tcW w:type="dxa" w:w="2520"/>
            <w:vAlign w:val="top"/>
            <w:shd w:fill="EFEFEF"/>
          </w:tcPr>
          <w:p>
            <w:r>
              <w:rPr>
                <w:sz w:val="17"/>
              </w:rPr>
              <w:t>Continuous or daily</w:t>
            </w:r>
          </w:p>
        </w:tc>
        <w:tc>
          <w:tcPr>
            <w:tcW w:type="dxa" w:w="2520"/>
            <w:vAlign w:val="top"/>
          </w:tcPr>
          <w:p>
            <w:r>
              <w:rPr>
                <w:sz w:val="17"/>
              </w:rPr>
              <w:t>Technical integrity and immediate service protection</w:t>
            </w:r>
          </w:p>
        </w:tc>
        <w:tc>
          <w:tcPr>
            <w:tcW w:type="dxa" w:w="2520"/>
            <w:vAlign w:val="top"/>
          </w:tcPr>
          <w:p>
            <w:r>
              <w:rPr>
                <w:sz w:val="17"/>
              </w:rPr>
              <w:t>Availability, latency, interfaces, input completeness, deployed version, logging, cybersecurity alerts, and fallback</w:t>
            </w:r>
          </w:p>
        </w:tc>
        <w:tc>
          <w:tcPr>
            <w:tcW w:type="dxa" w:w="2520"/>
            <w:vAlign w:val="top"/>
          </w:tcPr>
          <w:p>
            <w:r>
              <w:rPr>
                <w:sz w:val="17"/>
              </w:rPr>
              <w:t>Technical operations and service owner</w:t>
            </w:r>
          </w:p>
        </w:tc>
      </w:tr>
      <w:tr>
        <w:tc>
          <w:tcPr>
            <w:tcW w:type="dxa" w:w="2520"/>
            <w:vAlign w:val="top"/>
            <w:shd w:fill="EFEFEF"/>
          </w:tcPr>
          <w:p>
            <w:r>
              <w:rPr>
                <w:sz w:val="17"/>
              </w:rPr>
              <w:t>Weekly during pilots or high-consequence use</w:t>
            </w:r>
          </w:p>
        </w:tc>
        <w:tc>
          <w:tcPr>
            <w:tcW w:type="dxa" w:w="2520"/>
            <w:vAlign w:val="top"/>
          </w:tcPr>
          <w:p>
            <w:r>
              <w:rPr>
                <w:sz w:val="17"/>
              </w:rPr>
              <w:t>Workflow and operational review</w:t>
            </w:r>
          </w:p>
        </w:tc>
        <w:tc>
          <w:tcPr>
            <w:tcW w:type="dxa" w:w="2520"/>
            <w:vAlign w:val="top"/>
          </w:tcPr>
          <w:p>
            <w:r>
              <w:rPr>
                <w:sz w:val="17"/>
              </w:rPr>
              <w:t>Output volume, action, overrides, delays, workarounds, review burden, near misses, and downstream capacity</w:t>
            </w:r>
          </w:p>
        </w:tc>
        <w:tc>
          <w:tcPr>
            <w:tcW w:type="dxa" w:w="2520"/>
            <w:vAlign w:val="top"/>
          </w:tcPr>
          <w:p>
            <w:r>
              <w:rPr>
                <w:sz w:val="17"/>
              </w:rPr>
              <w:t>Clinical and operational leads</w:t>
            </w:r>
          </w:p>
        </w:tc>
      </w:tr>
      <w:tr>
        <w:tc>
          <w:tcPr>
            <w:tcW w:type="dxa" w:w="2520"/>
            <w:vAlign w:val="top"/>
            <w:shd w:fill="EFEFEF"/>
          </w:tcPr>
          <w:p>
            <w:r>
              <w:rPr>
                <w:sz w:val="17"/>
              </w:rPr>
              <w:t>Monthly</w:t>
            </w:r>
          </w:p>
        </w:tc>
        <w:tc>
          <w:tcPr>
            <w:tcW w:type="dxa" w:w="2520"/>
            <w:vAlign w:val="top"/>
          </w:tcPr>
          <w:p>
            <w:r>
              <w:rPr>
                <w:sz w:val="17"/>
              </w:rPr>
              <w:t>Multidisciplinary safety and performance review</w:t>
            </w:r>
          </w:p>
        </w:tc>
        <w:tc>
          <w:tcPr>
            <w:tcW w:type="dxa" w:w="2520"/>
            <w:vAlign w:val="top"/>
          </w:tcPr>
          <w:p>
            <w:r>
              <w:rPr>
                <w:sz w:val="17"/>
              </w:rPr>
              <w:t>Technical and human–AI performance, outcomes, complaints, incidents, vendor notices, training, and corrective actions</w:t>
            </w:r>
          </w:p>
        </w:tc>
        <w:tc>
          <w:tcPr>
            <w:tcW w:type="dxa" w:w="2520"/>
            <w:vAlign w:val="top"/>
          </w:tcPr>
          <w:p>
            <w:r>
              <w:rPr>
                <w:sz w:val="17"/>
              </w:rPr>
              <w:t>Quality and AI-governance forum</w:t>
            </w:r>
          </w:p>
        </w:tc>
      </w:tr>
      <w:tr>
        <w:tc>
          <w:tcPr>
            <w:tcW w:type="dxa" w:w="2520"/>
            <w:vAlign w:val="top"/>
            <w:shd w:fill="EFEFEF"/>
          </w:tcPr>
          <w:p>
            <w:r>
              <w:rPr>
                <w:sz w:val="17"/>
              </w:rPr>
              <w:t>Quarterly or semi-annually</w:t>
            </w:r>
          </w:p>
        </w:tc>
        <w:tc>
          <w:tcPr>
            <w:tcW w:type="dxa" w:w="2520"/>
            <w:vAlign w:val="top"/>
          </w:tcPr>
          <w:p>
            <w:r>
              <w:rPr>
                <w:sz w:val="17"/>
              </w:rPr>
              <w:t>Distributional, workforce, and economic review</w:t>
            </w:r>
          </w:p>
        </w:tc>
        <w:tc>
          <w:tcPr>
            <w:tcW w:type="dxa" w:w="2520"/>
            <w:vAlign w:val="top"/>
          </w:tcPr>
          <w:p>
            <w:r>
              <w:rPr>
                <w:sz w:val="17"/>
              </w:rPr>
              <w:t>Subgroups, access, workload, adoption, lifecycle cost, benefit realization, budget impact, equity, and trust</w:t>
            </w:r>
          </w:p>
        </w:tc>
        <w:tc>
          <w:tcPr>
            <w:tcW w:type="dxa" w:w="2520"/>
            <w:vAlign w:val="top"/>
          </w:tcPr>
          <w:p>
            <w:r>
              <w:rPr>
                <w:sz w:val="17"/>
              </w:rPr>
              <w:t>Economics, quality, equity, workforce, and governance leads</w:t>
            </w:r>
          </w:p>
        </w:tc>
      </w:tr>
      <w:tr>
        <w:tc>
          <w:tcPr>
            <w:tcW w:type="dxa" w:w="2520"/>
            <w:vAlign w:val="top"/>
            <w:shd w:fill="EFEFEF"/>
          </w:tcPr>
          <w:p>
            <w:r>
              <w:rPr>
                <w:sz w:val="17"/>
              </w:rPr>
              <w:t>Annually</w:t>
            </w:r>
          </w:p>
        </w:tc>
        <w:tc>
          <w:tcPr>
            <w:tcW w:type="dxa" w:w="2520"/>
            <w:vAlign w:val="top"/>
          </w:tcPr>
          <w:p>
            <w:r>
              <w:rPr>
                <w:sz w:val="17"/>
              </w:rPr>
              <w:t>Formal renewal, restriction, replacement, or retirement</w:t>
            </w:r>
          </w:p>
        </w:tc>
        <w:tc>
          <w:tcPr>
            <w:tcW w:type="dxa" w:w="2520"/>
            <w:vAlign w:val="top"/>
          </w:tcPr>
          <w:p>
            <w:r>
              <w:rPr>
                <w:sz w:val="17"/>
              </w:rPr>
              <w:t>Current intended use, evidence, value, residual risk, contract, updates, alternatives, monitoring capacity, and exit readiness</w:t>
            </w:r>
          </w:p>
        </w:tc>
        <w:tc>
          <w:tcPr>
            <w:tcW w:type="dxa" w:w="2520"/>
            <w:vAlign w:val="top"/>
          </w:tcPr>
          <w:p>
            <w:r>
              <w:rPr>
                <w:sz w:val="17"/>
              </w:rPr>
              <w:t>Executive decision authority</w:t>
            </w:r>
          </w:p>
        </w:tc>
      </w:tr>
      <w:tr>
        <w:tc>
          <w:tcPr>
            <w:tcW w:type="dxa" w:w="2520"/>
            <w:vAlign w:val="top"/>
            <w:shd w:fill="EFEFEF"/>
          </w:tcPr>
          <w:p>
            <w:r>
              <w:rPr>
                <w:sz w:val="17"/>
              </w:rPr>
              <w:t>Event triggered</w:t>
            </w:r>
          </w:p>
        </w:tc>
        <w:tc>
          <w:tcPr>
            <w:tcW w:type="dxa" w:w="2520"/>
            <w:vAlign w:val="top"/>
          </w:tcPr>
          <w:p>
            <w:r>
              <w:rPr>
                <w:sz w:val="17"/>
              </w:rPr>
              <w:t>Material change or serious incident review</w:t>
            </w:r>
          </w:p>
        </w:tc>
        <w:tc>
          <w:tcPr>
            <w:tcW w:type="dxa" w:w="2520"/>
            <w:vAlign w:val="top"/>
          </w:tcPr>
          <w:p>
            <w:r>
              <w:rPr>
                <w:sz w:val="17"/>
              </w:rPr>
              <w:t>Model, data, threshold, interface, workflow, vendor, security, policy, population, price, or serious performance change</w:t>
            </w:r>
          </w:p>
        </w:tc>
        <w:tc>
          <w:tcPr>
            <w:tcW w:type="dxa" w:w="2520"/>
            <w:vAlign w:val="top"/>
          </w:tcPr>
          <w:p>
            <w:r>
              <w:rPr>
                <w:sz w:val="17"/>
              </w:rPr>
              <w:t>Named incident or change authority</w:t>
            </w:r>
          </w:p>
        </w:tc>
      </w:tr>
    </w:tbl>
    <w:sectPr>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