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AIHE-D03 - Post-Deployment Monitoring and Algorithmovigilance Cadence</w:t>
      </w:r>
    </w:p>
    <w:p>
      <w:r>
        <w:rPr>
          <w:b/>
        </w:rPr>
        <w:t>Chapter 12: Decision Architecture and Lifecycle Governance</w:t>
      </w:r>
    </w:p>
    <w:p>
      <w:r>
        <w:t>Define recurring and event-triggered surveillance across technical, workflow, safety, equity, economic, and contractual domains.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AIHE-D03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Monitoring</w:t>
            </w:r>
          </w:p>
        </w:tc>
        <w:tc>
          <w:tcPr>
            <w:tcW w:type="dxa" w:w="2556"/>
            <w:vAlign w:val="top"/>
          </w:tcPr>
          <w:p>
            <w:r>
              <w:t>Signal, measure, source, affected population, and system version</w:t>
            </w:r>
          </w:p>
        </w:tc>
        <w:tc>
          <w:tcPr>
            <w:tcW w:type="dxa" w:w="2556"/>
            <w:vAlign w:val="top"/>
          </w:tcPr>
          <w:p>
            <w:r>
              <w:t>Link each signal to the intervention identity.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Cadence</w:t>
            </w:r>
          </w:p>
        </w:tc>
        <w:tc>
          <w:tcPr>
            <w:tcW w:type="dxa" w:w="2556"/>
            <w:vAlign w:val="top"/>
          </w:tcPr>
          <w:p>
            <w:r>
              <w:t>Frequency, accumulation window, and review forum</w:t>
            </w:r>
          </w:p>
        </w:tc>
        <w:tc>
          <w:tcPr>
            <w:tcW w:type="dxa" w:w="2556"/>
            <w:vAlign w:val="top"/>
          </w:tcPr>
          <w:p>
            <w:r>
              <w:t>Use risk-appropriate surveillance.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Threshold</w:t>
            </w:r>
          </w:p>
        </w:tc>
        <w:tc>
          <w:tcPr>
            <w:tcW w:type="dxa" w:w="2556"/>
            <w:vAlign w:val="top"/>
          </w:tcPr>
          <w:p>
            <w:r>
              <w:t>Acceptability limit or transition trigger</w:t>
            </w:r>
          </w:p>
        </w:tc>
        <w:tc>
          <w:tcPr>
            <w:tcW w:type="dxa" w:w="2556"/>
            <w:vAlign w:val="top"/>
          </w:tcPr>
          <w:p>
            <w:r>
              <w:t>State statistical and decision thresholds separately.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Ownership</w:t>
            </w:r>
          </w:p>
        </w:tc>
        <w:tc>
          <w:tcPr>
            <w:tcW w:type="dxa" w:w="2556"/>
            <w:vAlign w:val="top"/>
          </w:tcPr>
          <w:p>
            <w:r>
              <w:t>Reviewer, response time, and escalation authority</w:t>
            </w:r>
          </w:p>
        </w:tc>
        <w:tc>
          <w:tcPr>
            <w:tcW w:type="dxa" w:w="2556"/>
            <w:vAlign w:val="top"/>
          </w:tcPr>
          <w:p>
            <w:r>
              <w:t>Monitoring without authority is incomplete.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Response</w:t>
            </w:r>
          </w:p>
        </w:tc>
        <w:tc>
          <w:tcPr>
            <w:tcW w:type="dxa" w:w="2556"/>
            <w:vAlign w:val="top"/>
          </w:tcPr>
          <w:p>
            <w:r>
              <w:t>Continue, investigate, restrict, suspend, revalidate, reauthorize, replace, or retire</w:t>
            </w:r>
          </w:p>
        </w:tc>
        <w:tc>
          <w:tcPr>
            <w:tcW w:type="dxa" w:w="2556"/>
            <w:vAlign w:val="top"/>
          </w:tcPr>
          <w:p>
            <w:r>
              <w:t>State the default response.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Closure</w:t>
            </w:r>
          </w:p>
        </w:tc>
        <w:tc>
          <w:tcPr>
            <w:tcW w:type="dxa" w:w="2556"/>
            <w:vAlign w:val="top"/>
          </w:tcPr>
          <w:p>
            <w:r>
              <w:t>Evidence required to resolve the trigger</w:t>
            </w:r>
          </w:p>
        </w:tc>
        <w:tc>
          <w:tcPr>
            <w:tcW w:type="dxa" w:w="2556"/>
            <w:vAlign w:val="top"/>
          </w:tcPr>
          <w:p>
            <w:r>
              <w:t>Link to decision history.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AIHE-D03 - Post-Deployment Monitoring and Algorithmovigilance Cadence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