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AIHE-D04 - Incident Classification and Reconstruction</w:t>
      </w:r>
    </w:p>
    <w:p>
      <w:r>
        <w:rPr>
          <w:b/>
        </w:rPr>
        <w:t>Chapter 12: Decision Architecture and Lifecycle Governance</w:t>
      </w:r>
    </w:p>
    <w:p>
      <w:r>
        <w:t>Reconstruct technical, clinical, workflow, privacy, cybersecurity, equity, communication, and economic incidents consistently.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AIHE-D04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Incident identity</w:t>
            </w:r>
          </w:p>
        </w:tc>
        <w:tc>
          <w:tcPr>
            <w:tcW w:type="dxa" w:w="2556"/>
            <w:vAlign w:val="top"/>
          </w:tcPr>
          <w:p>
            <w:r>
              <w:t>Incident ID, date, system and version, setting, affected function and population</w:t>
            </w:r>
          </w:p>
        </w:tc>
        <w:tc>
          <w:tcPr>
            <w:tcW w:type="dxa" w:w="2556"/>
            <w:vAlign w:val="top"/>
          </w:tcPr>
          <w:p>
            <w:r>
              <w:t>Preserve exact identity.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Event</w:t>
            </w:r>
          </w:p>
        </w:tc>
        <w:tc>
          <w:tcPr>
            <w:tcW w:type="dxa" w:w="2556"/>
            <w:vAlign w:val="top"/>
          </w:tcPr>
          <w:p>
            <w:r>
              <w:t>Observed event, harm, near miss, delay, or unexpected consequence</w:t>
            </w:r>
          </w:p>
        </w:tc>
        <w:tc>
          <w:tcPr>
            <w:tcW w:type="dxa" w:w="2556"/>
            <w:vAlign w:val="top"/>
          </w:tcPr>
          <w:p>
            <w:r>
              <w:t>State what occurred.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Detection</w:t>
            </w:r>
          </w:p>
        </w:tc>
        <w:tc>
          <w:tcPr>
            <w:tcW w:type="dxa" w:w="2556"/>
            <w:vAlign w:val="top"/>
          </w:tcPr>
          <w:p>
            <w:r>
              <w:t>How the event was detected and initial evidence</w:t>
            </w:r>
          </w:p>
        </w:tc>
        <w:tc>
          <w:tcPr>
            <w:tcW w:type="dxa" w:w="2556"/>
            <w:vAlign w:val="top"/>
          </w:tcPr>
          <w:p>
            <w:r>
              <w:t>Preserve source records.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Decision reconstruction</w:t>
            </w:r>
          </w:p>
        </w:tc>
        <w:tc>
          <w:tcPr>
            <w:tcW w:type="dxa" w:w="2556"/>
            <w:vAlign w:val="top"/>
          </w:tcPr>
          <w:p>
            <w:r>
              <w:t>AI output, source information, human interpretation, decision right, action, and timing</w:t>
            </w:r>
          </w:p>
        </w:tc>
        <w:tc>
          <w:tcPr>
            <w:tcW w:type="dxa" w:w="2556"/>
            <w:vAlign w:val="top"/>
          </w:tcPr>
          <w:p>
            <w:r>
              <w:t>Reconstruct the pathway.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Containment</w:t>
            </w:r>
          </w:p>
        </w:tc>
        <w:tc>
          <w:tcPr>
            <w:tcW w:type="dxa" w:w="2556"/>
            <w:vAlign w:val="top"/>
          </w:tcPr>
          <w:p>
            <w:r>
              <w:t>Immediate restrictions, fallback, continuity, and notification</w:t>
            </w:r>
          </w:p>
        </w:tc>
        <w:tc>
          <w:tcPr>
            <w:tcW w:type="dxa" w:w="2556"/>
            <w:vAlign w:val="top"/>
          </w:tcPr>
          <w:p>
            <w:r>
              <w:t>Protect ongoing service.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Investigation</w:t>
            </w:r>
          </w:p>
        </w:tc>
        <w:tc>
          <w:tcPr>
            <w:tcW w:type="dxa" w:w="2556"/>
            <w:vAlign w:val="top"/>
          </w:tcPr>
          <w:p>
            <w:r>
              <w:t>Data, model, configuration, workflow, human, vendor, and organizational contributors</w:t>
            </w:r>
          </w:p>
        </w:tc>
        <w:tc>
          <w:tcPr>
            <w:tcW w:type="dxa" w:w="2556"/>
            <w:vAlign w:val="top"/>
          </w:tcPr>
          <w:p>
            <w:r>
              <w:t>Document uncertainty.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External duty</w:t>
            </w:r>
          </w:p>
        </w:tc>
        <w:tc>
          <w:tcPr>
            <w:tcW w:type="dxa" w:w="2556"/>
            <w:vAlign w:val="top"/>
          </w:tcPr>
          <w:p>
            <w:r>
              <w:t>Reportability, regulator, insurer, supplier, or affected-person notification</w:t>
            </w:r>
          </w:p>
        </w:tc>
        <w:tc>
          <w:tcPr>
            <w:tcW w:type="dxa" w:w="2556"/>
            <w:vAlign w:val="top"/>
          </w:tcPr>
          <w:p>
            <w:r>
              <w:t>Verify jurisdictional duties.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Disposition</w:t>
            </w:r>
          </w:p>
        </w:tc>
        <w:tc>
          <w:tcPr>
            <w:tcW w:type="dxa" w:w="2556"/>
            <w:vAlign w:val="top"/>
          </w:tcPr>
          <w:p>
            <w:r>
              <w:t>Corrective action, revalidation, reauthorization, closure, and learning</w:t>
            </w:r>
          </w:p>
        </w:tc>
        <w:tc>
          <w:tcPr>
            <w:tcW w:type="dxa" w:w="2556"/>
            <w:vAlign w:val="top"/>
          </w:tcPr>
          <w:p>
            <w:r>
              <w:t>Connect incident evidence to the lifecycle decision.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AIHE-D04 - Incident Classification and Reconstruction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