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Material Change, Reauthorization, Renewal, Replacement, and Retirement Record</w:t>
      </w:r>
    </w:p>
    <w:p>
      <w:pPr>
        <w:jc w:val="centre"/>
      </w:pPr>
      <w:r>
        <w:rPr>
          <w:b/>
          <w:color w:val="7A2334"/>
        </w:rPr>
        <w:t>AIHE-D05</w:t>
      </w:r>
    </w:p>
    <w:p>
      <w:pPr>
        <w:spacing w:after="40"/>
      </w:pPr>
      <w:r>
        <w:rPr>
          <w:b/>
        </w:rPr>
        <w:t xml:space="preserve">Primary chapter: </w:t>
      </w:r>
      <w:r>
        <w:t>12 — Decision Architecture and Lifecycle Governance</w:t>
      </w:r>
    </w:p>
    <w:p>
      <w:pPr>
        <w:spacing w:after="40"/>
      </w:pPr>
      <w:r>
        <w:rPr>
          <w:b/>
        </w:rPr>
        <w:t xml:space="preserve">Additional chapter alignment: </w:t>
      </w:r>
      <w:r>
        <w:t>9, 11, 12, 14</w:t>
      </w:r>
    </w:p>
    <w:p>
      <w:pPr>
        <w:spacing w:after="40"/>
      </w:pPr>
      <w:r>
        <w:rPr>
          <w:b/>
        </w:rPr>
        <w:t xml:space="preserve">Legacy aliases: </w:t>
      </w:r>
      <w:r>
        <w:t>AIHE-EX11, AIHE-T, AIHE-J</w:t>
      </w:r>
    </w:p>
    <w:p>
      <w:pPr>
        <w:spacing w:after="40"/>
      </w:pPr>
      <w:r>
        <w:rPr>
          <w:b/>
        </w:rPr>
        <w:t xml:space="preserve">Version: </w:t>
      </w:r>
      <w:r>
        <w:t>V1.0</w:t>
      </w:r>
    </w:p>
    <w:p>
      <w:pPr>
        <w:pStyle w:val="Heading1"/>
      </w:pPr>
      <w:r>
        <w:t>Purpose</w:t>
      </w:r>
    </w:p>
    <w:p>
      <w:r>
        <w:t>Assess material changes and periodic renewal across system, data, workflow, vendor, price, law, evidence, alternatives, and exit.</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Change or review trigger</w:t>
            </w:r>
          </w:p>
        </w:tc>
        <w:tc>
          <w:tcPr>
            <w:tcW w:type="dxa" w:w="3360"/>
            <w:vAlign w:val="top"/>
          </w:tcPr>
          <w:p>
            <w:r>
              <w:rPr>
                <w:sz w:val="17"/>
              </w:rPr>
              <w:t>Model, software, data, threshold, interface, intended use, population, workflow, provider, subprocessor, hosting, price, law, evidence, or alternative.</w:t>
            </w:r>
          </w:p>
        </w:tc>
        <w:tc>
          <w:tcPr>
            <w:tcW w:type="dxa" w:w="3360"/>
            <w:vAlign w:val="top"/>
          </w:tcPr>
          <w:p>
            <w:r>
              <w:rPr>
                <w:sz w:val="17"/>
              </w:rPr>
            </w:r>
          </w:p>
        </w:tc>
      </w:tr>
      <w:tr>
        <w:tc>
          <w:tcPr>
            <w:tcW w:type="dxa" w:w="3360"/>
            <w:vAlign w:val="top"/>
            <w:shd w:fill="F2E8EB"/>
          </w:tcPr>
          <w:p>
            <w:r>
              <w:rPr>
                <w:sz w:val="17"/>
              </w:rPr>
              <w:t>Affected dossier elements</w:t>
            </w:r>
          </w:p>
        </w:tc>
        <w:tc>
          <w:tcPr>
            <w:tcW w:type="dxa" w:w="3360"/>
            <w:vAlign w:val="top"/>
          </w:tcPr>
          <w:p>
            <w:r>
              <w:rPr>
                <w:sz w:val="17"/>
              </w:rPr>
              <w:t>Identify evidence, validation, economics, quality, accreditation, governance, contract, training, communication, and monitoring records requiring revision.</w:t>
            </w:r>
          </w:p>
        </w:tc>
        <w:tc>
          <w:tcPr>
            <w:tcW w:type="dxa" w:w="3360"/>
            <w:vAlign w:val="top"/>
          </w:tcPr>
          <w:p>
            <w:r>
              <w:rPr>
                <w:sz w:val="17"/>
              </w:rPr>
            </w:r>
          </w:p>
        </w:tc>
      </w:tr>
      <w:tr>
        <w:tc>
          <w:tcPr>
            <w:tcW w:type="dxa" w:w="3360"/>
            <w:vAlign w:val="top"/>
            <w:shd w:fill="F2E8EB"/>
          </w:tcPr>
          <w:p>
            <w:r>
              <w:rPr>
                <w:sz w:val="17"/>
              </w:rPr>
              <w:t>Materiality and immediate control</w:t>
            </w:r>
          </w:p>
        </w:tc>
        <w:tc>
          <w:tcPr>
            <w:tcW w:type="dxa" w:w="3360"/>
            <w:vAlign w:val="top"/>
          </w:tcPr>
          <w:p>
            <w:r>
              <w:rPr>
                <w:sz w:val="17"/>
              </w:rPr>
              <w:t>Classify minor, moderate, or major; record restriction, silent mode, rollback, or pause where required.</w:t>
            </w:r>
          </w:p>
        </w:tc>
        <w:tc>
          <w:tcPr>
            <w:tcW w:type="dxa" w:w="3360"/>
            <w:vAlign w:val="top"/>
          </w:tcPr>
          <w:p>
            <w:r>
              <w:rPr>
                <w:sz w:val="17"/>
              </w:rPr>
            </w:r>
          </w:p>
        </w:tc>
      </w:tr>
      <w:tr>
        <w:tc>
          <w:tcPr>
            <w:tcW w:type="dxa" w:w="3360"/>
            <w:vAlign w:val="top"/>
            <w:shd w:fill="F2E8EB"/>
          </w:tcPr>
          <w:p>
            <w:r>
              <w:rPr>
                <w:sz w:val="17"/>
              </w:rPr>
              <w:t>Revalidation and implementation</w:t>
            </w:r>
          </w:p>
        </w:tc>
        <w:tc>
          <w:tcPr>
            <w:tcW w:type="dxa" w:w="3360"/>
            <w:vAlign w:val="top"/>
          </w:tcPr>
          <w:p>
            <w:r>
              <w:rPr>
                <w:sz w:val="17"/>
              </w:rPr>
              <w:t>Define tests, subgroups, human factors, pilot, training, acceptance thresholds, approval, and release plan.</w:t>
            </w:r>
          </w:p>
        </w:tc>
        <w:tc>
          <w:tcPr>
            <w:tcW w:type="dxa" w:w="3360"/>
            <w:vAlign w:val="top"/>
          </w:tcPr>
          <w:p>
            <w:r>
              <w:rPr>
                <w:sz w:val="17"/>
              </w:rPr>
            </w:r>
          </w:p>
        </w:tc>
      </w:tr>
      <w:tr>
        <w:tc>
          <w:tcPr>
            <w:tcW w:type="dxa" w:w="3360"/>
            <w:vAlign w:val="top"/>
            <w:shd w:fill="F2E8EB"/>
          </w:tcPr>
          <w:p>
            <w:r>
              <w:rPr>
                <w:sz w:val="17"/>
              </w:rPr>
              <w:t>Current value and comparator</w:t>
            </w:r>
          </w:p>
        </w:tc>
        <w:tc>
          <w:tcPr>
            <w:tcW w:type="dxa" w:w="3360"/>
            <w:vAlign w:val="top"/>
          </w:tcPr>
          <w:p>
            <w:r>
              <w:rPr>
                <w:sz w:val="17"/>
              </w:rPr>
              <w:t>Reassess lifecycle cost, benefit realization, budget impact, risks, alternatives, and opportunity cost.</w:t>
            </w:r>
          </w:p>
        </w:tc>
        <w:tc>
          <w:tcPr>
            <w:tcW w:type="dxa" w:w="3360"/>
            <w:vAlign w:val="top"/>
          </w:tcPr>
          <w:p>
            <w:r>
              <w:rPr>
                <w:sz w:val="17"/>
              </w:rPr>
            </w:r>
          </w:p>
        </w:tc>
      </w:tr>
      <w:tr>
        <w:tc>
          <w:tcPr>
            <w:tcW w:type="dxa" w:w="3360"/>
            <w:vAlign w:val="top"/>
            <w:shd w:fill="F2E8EB"/>
          </w:tcPr>
          <w:p>
            <w:r>
              <w:rPr>
                <w:sz w:val="17"/>
              </w:rPr>
              <w:t>Decision</w:t>
            </w:r>
          </w:p>
        </w:tc>
        <w:tc>
          <w:tcPr>
            <w:tcW w:type="dxa" w:w="3360"/>
            <w:vAlign w:val="top"/>
          </w:tcPr>
          <w:p>
            <w:r>
              <w:rPr>
                <w:sz w:val="17"/>
              </w:rPr>
              <w:t>Continue, continue with conditions, update, restrict, pause, restart, replace, or retire.</w:t>
            </w:r>
          </w:p>
        </w:tc>
        <w:tc>
          <w:tcPr>
            <w:tcW w:type="dxa" w:w="3360"/>
            <w:vAlign w:val="top"/>
          </w:tcPr>
          <w:p>
            <w:r>
              <w:rPr>
                <w:sz w:val="17"/>
              </w:rPr>
            </w:r>
          </w:p>
        </w:tc>
      </w:tr>
      <w:tr>
        <w:tc>
          <w:tcPr>
            <w:tcW w:type="dxa" w:w="3360"/>
            <w:vAlign w:val="top"/>
            <w:shd w:fill="F2E8EB"/>
          </w:tcPr>
          <w:p>
            <w:r>
              <w:rPr>
                <w:sz w:val="17"/>
              </w:rPr>
              <w:t>Continuity and exit</w:t>
            </w:r>
          </w:p>
        </w:tc>
        <w:tc>
          <w:tcPr>
            <w:tcW w:type="dxa" w:w="3360"/>
            <w:vAlign w:val="top"/>
          </w:tcPr>
          <w:p>
            <w:r>
              <w:rPr>
                <w:sz w:val="17"/>
              </w:rPr>
              <w:t>Record fallback, data export, retention and deletion, workflow restoration, staff and patient communication, contract termination, and physical disposition.</w:t>
            </w:r>
          </w:p>
        </w:tc>
        <w:tc>
          <w:tcPr>
            <w:tcW w:type="dxa" w:w="3360"/>
            <w:vAlign w:val="top"/>
          </w:tcPr>
          <w:p>
            <w:r>
              <w:rPr>
                <w:sz w:val="17"/>
              </w:rPr>
            </w:r>
          </w:p>
        </w:tc>
      </w:tr>
      <w:tr>
        <w:tc>
          <w:tcPr>
            <w:tcW w:type="dxa" w:w="3360"/>
            <w:vAlign w:val="top"/>
            <w:shd w:fill="F2E8EB"/>
          </w:tcPr>
          <w:p>
            <w:r>
              <w:rPr>
                <w:sz w:val="17"/>
              </w:rPr>
              <w:t>Authority and next review</w:t>
            </w:r>
          </w:p>
        </w:tc>
        <w:tc>
          <w:tcPr>
            <w:tcW w:type="dxa" w:w="3360"/>
            <w:vAlign w:val="top"/>
          </w:tcPr>
          <w:p>
            <w:r>
              <w:rPr>
                <w:sz w:val="17"/>
              </w:rPr>
              <w:t>Record accountable decision-maker, dissent, conditions, date, evidence cut-off, and next trigger.</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Change or review trigger</w:t>
            </w:r>
          </w:p>
        </w:tc>
        <w:tc>
          <w:tcPr>
            <w:tcW w:type="dxa" w:w="3360"/>
            <w:vAlign w:val="top"/>
          </w:tcPr>
          <w:p>
            <w:r>
              <w:rPr>
                <w:sz w:val="17"/>
              </w:rPr>
              <w:t>Model, software, data, threshold, interface, intended use, population, workflow, provider, subprocessor, hosting, price, law, evidence, or alternative.</w:t>
            </w:r>
          </w:p>
        </w:tc>
        <w:tc>
          <w:tcPr>
            <w:tcW w:type="dxa" w:w="3360"/>
            <w:vAlign w:val="top"/>
          </w:tcPr>
          <w:p>
            <w:r>
              <w:rPr>
                <w:sz w:val="17"/>
              </w:rPr>
              <w:t>Annual renewal and vendor proposal to update model, hosting environment, and pricing.</w:t>
            </w:r>
          </w:p>
        </w:tc>
      </w:tr>
      <w:tr>
        <w:tc>
          <w:tcPr>
            <w:tcW w:type="dxa" w:w="3360"/>
            <w:vAlign w:val="top"/>
            <w:shd w:fill="EFEFEF"/>
          </w:tcPr>
          <w:p>
            <w:r>
              <w:rPr>
                <w:sz w:val="17"/>
              </w:rPr>
              <w:t>Affected dossier elements</w:t>
            </w:r>
          </w:p>
        </w:tc>
        <w:tc>
          <w:tcPr>
            <w:tcW w:type="dxa" w:w="3360"/>
            <w:vAlign w:val="top"/>
          </w:tcPr>
          <w:p>
            <w:r>
              <w:rPr>
                <w:sz w:val="17"/>
              </w:rPr>
              <w:t>Identify evidence, validation, economics, quality, accreditation, governance, contract, training, communication, and monitoring records requiring revision.</w:t>
            </w:r>
          </w:p>
        </w:tc>
        <w:tc>
          <w:tcPr>
            <w:tcW w:type="dxa" w:w="3360"/>
            <w:vAlign w:val="top"/>
          </w:tcPr>
          <w:p>
            <w:r>
              <w:rPr>
                <w:sz w:val="17"/>
              </w:rPr>
              <w:t>Intended use, validation, economics, security, contract, training, monitoring, and rollback.</w:t>
            </w:r>
          </w:p>
        </w:tc>
      </w:tr>
      <w:tr>
        <w:tc>
          <w:tcPr>
            <w:tcW w:type="dxa" w:w="3360"/>
            <w:vAlign w:val="top"/>
            <w:shd w:fill="EFEFEF"/>
          </w:tcPr>
          <w:p>
            <w:r>
              <w:rPr>
                <w:sz w:val="17"/>
              </w:rPr>
              <w:t>Materiality and immediate control</w:t>
            </w:r>
          </w:p>
        </w:tc>
        <w:tc>
          <w:tcPr>
            <w:tcW w:type="dxa" w:w="3360"/>
            <w:vAlign w:val="top"/>
          </w:tcPr>
          <w:p>
            <w:r>
              <w:rPr>
                <w:sz w:val="17"/>
              </w:rPr>
              <w:t>Classify minor, moderate, or major; record restriction, silent mode, rollback, or pause where required.</w:t>
            </w:r>
          </w:p>
        </w:tc>
        <w:tc>
          <w:tcPr>
            <w:tcW w:type="dxa" w:w="3360"/>
            <w:vAlign w:val="top"/>
          </w:tcPr>
          <w:p>
            <w:r>
              <w:rPr>
                <w:sz w:val="17"/>
              </w:rPr>
              <w:t>Major change; retain current version while update is evaluated in silent mode.</w:t>
            </w:r>
          </w:p>
        </w:tc>
      </w:tr>
      <w:tr>
        <w:tc>
          <w:tcPr>
            <w:tcW w:type="dxa" w:w="3360"/>
            <w:vAlign w:val="top"/>
            <w:shd w:fill="EFEFEF"/>
          </w:tcPr>
          <w:p>
            <w:r>
              <w:rPr>
                <w:sz w:val="17"/>
              </w:rPr>
              <w:t>Revalidation and implementation</w:t>
            </w:r>
          </w:p>
        </w:tc>
        <w:tc>
          <w:tcPr>
            <w:tcW w:type="dxa" w:w="3360"/>
            <w:vAlign w:val="top"/>
          </w:tcPr>
          <w:p>
            <w:r>
              <w:rPr>
                <w:sz w:val="17"/>
              </w:rPr>
              <w:t>Define tests, subgroups, human factors, pilot, training, acceptance thresholds, approval, and release plan.</w:t>
            </w:r>
          </w:p>
        </w:tc>
        <w:tc>
          <w:tcPr>
            <w:tcW w:type="dxa" w:w="3360"/>
            <w:vAlign w:val="top"/>
          </w:tcPr>
          <w:p>
            <w:r>
              <w:rPr>
                <w:sz w:val="17"/>
              </w:rPr>
              <w:t>Repeat technical, subgroup, human-factors, workflow, security, and budget tests.</w:t>
            </w:r>
          </w:p>
        </w:tc>
      </w:tr>
      <w:tr>
        <w:tc>
          <w:tcPr>
            <w:tcW w:type="dxa" w:w="3360"/>
            <w:vAlign w:val="top"/>
            <w:shd w:fill="EFEFEF"/>
          </w:tcPr>
          <w:p>
            <w:r>
              <w:rPr>
                <w:sz w:val="17"/>
              </w:rPr>
              <w:t>Current value and comparator</w:t>
            </w:r>
          </w:p>
        </w:tc>
        <w:tc>
          <w:tcPr>
            <w:tcW w:type="dxa" w:w="3360"/>
            <w:vAlign w:val="top"/>
          </w:tcPr>
          <w:p>
            <w:r>
              <w:rPr>
                <w:sz w:val="17"/>
              </w:rPr>
              <w:t>Reassess lifecycle cost, benefit realization, budget impact, risks, alternatives, and opportunity cost.</w:t>
            </w:r>
          </w:p>
        </w:tc>
        <w:tc>
          <w:tcPr>
            <w:tcW w:type="dxa" w:w="3360"/>
            <w:vAlign w:val="top"/>
          </w:tcPr>
          <w:p>
            <w:r>
              <w:rPr>
                <w:sz w:val="17"/>
              </w:rPr>
              <w:t>Current version remains acceptable; staffing redesign and a competing product remain alternatives.</w:t>
            </w:r>
          </w:p>
        </w:tc>
      </w:tr>
      <w:tr>
        <w:tc>
          <w:tcPr>
            <w:tcW w:type="dxa" w:w="3360"/>
            <w:vAlign w:val="top"/>
            <w:shd w:fill="EFEFEF"/>
          </w:tcPr>
          <w:p>
            <w:r>
              <w:rPr>
                <w:sz w:val="17"/>
              </w:rPr>
              <w:t>Decision</w:t>
            </w:r>
          </w:p>
        </w:tc>
        <w:tc>
          <w:tcPr>
            <w:tcW w:type="dxa" w:w="3360"/>
            <w:vAlign w:val="top"/>
          </w:tcPr>
          <w:p>
            <w:r>
              <w:rPr>
                <w:sz w:val="17"/>
              </w:rPr>
              <w:t>Continue, continue with conditions, update, restrict, pause, restart, replace, or retire.</w:t>
            </w:r>
          </w:p>
        </w:tc>
        <w:tc>
          <w:tcPr>
            <w:tcW w:type="dxa" w:w="3360"/>
            <w:vAlign w:val="top"/>
          </w:tcPr>
          <w:p>
            <w:r>
              <w:rPr>
                <w:sz w:val="17"/>
              </w:rPr>
              <w:t>Conditional renewal of current version for 12 months; update not approved pending local evidence.</w:t>
            </w:r>
          </w:p>
        </w:tc>
      </w:tr>
      <w:tr>
        <w:tc>
          <w:tcPr>
            <w:tcW w:type="dxa" w:w="3360"/>
            <w:vAlign w:val="top"/>
            <w:shd w:fill="EFEFEF"/>
          </w:tcPr>
          <w:p>
            <w:r>
              <w:rPr>
                <w:sz w:val="17"/>
              </w:rPr>
              <w:t>Continuity and exit</w:t>
            </w:r>
          </w:p>
        </w:tc>
        <w:tc>
          <w:tcPr>
            <w:tcW w:type="dxa" w:w="3360"/>
            <w:vAlign w:val="top"/>
          </w:tcPr>
          <w:p>
            <w:r>
              <w:rPr>
                <w:sz w:val="17"/>
              </w:rPr>
              <w:t>Record fallback, data export, retention and deletion, workflow restoration, staff and patient communication, contract termination, and physical disposition.</w:t>
            </w:r>
          </w:p>
        </w:tc>
        <w:tc>
          <w:tcPr>
            <w:tcW w:type="dxa" w:w="3360"/>
            <w:vAlign w:val="top"/>
          </w:tcPr>
          <w:p>
            <w:r>
              <w:rPr>
                <w:sz w:val="17"/>
              </w:rPr>
              <w:t>Maintain export, deletion, fallback, transition, and contract-termination plan.</w:t>
            </w:r>
          </w:p>
        </w:tc>
      </w:tr>
      <w:tr>
        <w:tc>
          <w:tcPr>
            <w:tcW w:type="dxa" w:w="3360"/>
            <w:vAlign w:val="top"/>
            <w:shd w:fill="EFEFEF"/>
          </w:tcPr>
          <w:p>
            <w:r>
              <w:rPr>
                <w:sz w:val="17"/>
              </w:rPr>
              <w:t>Authority and next review</w:t>
            </w:r>
          </w:p>
        </w:tc>
        <w:tc>
          <w:tcPr>
            <w:tcW w:type="dxa" w:w="3360"/>
            <w:vAlign w:val="top"/>
          </w:tcPr>
          <w:p>
            <w:r>
              <w:rPr>
                <w:sz w:val="17"/>
              </w:rPr>
              <w:t>Record accountable decision-maker, dissent, conditions, date, evidence cut-off, and next trigger.</w:t>
            </w:r>
          </w:p>
        </w:tc>
        <w:tc>
          <w:tcPr>
            <w:tcW w:type="dxa" w:w="3360"/>
            <w:vAlign w:val="top"/>
          </w:tcPr>
          <w:p>
            <w:r>
              <w:rPr>
                <w:sz w:val="17"/>
              </w:rPr>
              <w:t>CMIO and Finance Director; review in six months or at any material change.</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AIHE-D05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