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AIHE-D05 - Material Change, Reauthorization, Renewal, Replacement, and Retirement Record</w:t>
      </w:r>
    </w:p>
    <w:p>
      <w:r>
        <w:rPr>
          <w:b/>
        </w:rPr>
        <w:t>Chapter 12: Decision Architecture and Lifecycle Governance</w:t>
      </w:r>
    </w:p>
    <w:p>
      <w:r>
        <w:t>Assess material changes and periodic renewal across system, data, workflow, vendor, price, law, evidence, alternatives, and exit.</w:t>
      </w:r>
    </w:p>
    <w:p>
      <w:pPr>
        <w:pStyle w:val="Heading1"/>
      </w:pPr>
      <w:r>
        <w:t>Record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</w:tcPr>
          <w:p>
            <w:r>
              <w:t>Stable identifier</w:t>
            </w:r>
          </w:p>
        </w:tc>
        <w:tc>
          <w:tcPr>
            <w:tcW w:type="dxa" w:w="5112"/>
          </w:tcPr>
          <w:p>
            <w:r>
              <w:t>AIHE-D05</w:t>
            </w:r>
          </w:p>
        </w:tc>
      </w:tr>
      <w:tr>
        <w:tc>
          <w:tcPr>
            <w:tcW w:type="dxa" w:w="5112"/>
          </w:tcPr>
          <w:p>
            <w:r>
              <w:t>Resource version</w:t>
            </w:r>
          </w:p>
        </w:tc>
        <w:tc>
          <w:tcPr>
            <w:tcW w:type="dxa" w:w="5112"/>
          </w:tcPr>
          <w:p>
            <w:r>
              <w:t>V1.0</w:t>
            </w:r>
          </w:p>
        </w:tc>
      </w:tr>
      <w:tr>
        <w:tc>
          <w:tcPr>
            <w:tcW w:type="dxa" w:w="5112"/>
          </w:tcPr>
          <w:p>
            <w:r>
              <w:t>Release date</w:t>
            </w:r>
          </w:p>
        </w:tc>
        <w:tc>
          <w:tcPr>
            <w:tcW w:type="dxa" w:w="5112"/>
          </w:tcPr>
          <w:p>
            <w:r>
              <w:t>2026-09-02</w:t>
            </w:r>
          </w:p>
        </w:tc>
      </w:tr>
      <w:tr>
        <w:tc>
          <w:tcPr>
            <w:tcW w:type="dxa" w:w="5112"/>
          </w:tcPr>
          <w:p>
            <w:r>
              <w:t>Evidence cut-off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Access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Local modifications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Organization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Intervention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Accountable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Decision authority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review date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Required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  <w:vAlign w:val="top"/>
          </w:tcPr>
          <w:p>
            <w:r>
              <w:t>Change identity</w:t>
            </w:r>
          </w:p>
        </w:tc>
        <w:tc>
          <w:tcPr>
            <w:tcW w:type="dxa" w:w="2556"/>
            <w:vAlign w:val="top"/>
          </w:tcPr>
          <w:p>
            <w:r>
              <w:t>Change ID, previous version, proposed version, date, and requester</w:t>
            </w:r>
          </w:p>
        </w:tc>
        <w:tc>
          <w:tcPr>
            <w:tcW w:type="dxa" w:w="2556"/>
            <w:vAlign w:val="top"/>
          </w:tcPr>
          <w:p>
            <w:r>
              <w:t>Maintain a controlled change record.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Changed component</w:t>
            </w:r>
          </w:p>
        </w:tc>
        <w:tc>
          <w:tcPr>
            <w:tcW w:type="dxa" w:w="2556"/>
            <w:vAlign w:val="top"/>
          </w:tcPr>
          <w:p>
            <w:r>
              <w:t>Model, data source, threshold, interface, workflow, intended use, infrastructure, supplier, price, or dependency</w:t>
            </w:r>
          </w:p>
        </w:tc>
        <w:tc>
          <w:tcPr>
            <w:tcW w:type="dxa" w:w="2556"/>
            <w:vAlign w:val="top"/>
          </w:tcPr>
          <w:p>
            <w:r>
              <w:t>Identify every material component.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Materiality</w:t>
            </w:r>
          </w:p>
        </w:tc>
        <w:tc>
          <w:tcPr>
            <w:tcW w:type="dxa" w:w="2556"/>
            <w:vAlign w:val="top"/>
          </w:tcPr>
          <w:p>
            <w:r>
              <w:t>Clinical, technical, economic, equity, security, contractual, and organizational rationale</w:t>
            </w:r>
          </w:p>
        </w:tc>
        <w:tc>
          <w:tcPr>
            <w:tcW w:type="dxa" w:w="2556"/>
            <w:vAlign w:val="top"/>
          </w:tcPr>
          <w:p>
            <w:r>
              <w:t>State why prior evidence may or may not remain applicable.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Evidence impact</w:t>
            </w:r>
          </w:p>
        </w:tc>
        <w:tc>
          <w:tcPr>
            <w:tcW w:type="dxa" w:w="2556"/>
            <w:vAlign w:val="top"/>
          </w:tcPr>
          <w:p>
            <w:r>
              <w:t>Evidence invalidated, weakened, unchanged, or newly required</w:t>
            </w:r>
          </w:p>
        </w:tc>
        <w:tc>
          <w:tcPr>
            <w:tcW w:type="dxa" w:w="2556"/>
            <w:vAlign w:val="top"/>
          </w:tcPr>
          <w:p>
            <w:r>
              <w:t>Link to authoritative records.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Interim state</w:t>
            </w:r>
          </w:p>
        </w:tc>
        <w:tc>
          <w:tcPr>
            <w:tcW w:type="dxa" w:w="2556"/>
            <w:vAlign w:val="top"/>
          </w:tcPr>
          <w:p>
            <w:r>
              <w:t>Continue, restrict, suspend, or maintain fallback during review</w:t>
            </w:r>
          </w:p>
        </w:tc>
        <w:tc>
          <w:tcPr>
            <w:tcW w:type="dxa" w:w="2556"/>
            <w:vAlign w:val="top"/>
          </w:tcPr>
          <w:p>
            <w:r>
              <w:t>Protect continuity.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Revalidation</w:t>
            </w:r>
          </w:p>
        </w:tc>
        <w:tc>
          <w:tcPr>
            <w:tcW w:type="dxa" w:w="2556"/>
            <w:vAlign w:val="top"/>
          </w:tcPr>
          <w:p>
            <w:r>
              <w:t>Testing, evaluation, assurance, and user preparation required</w:t>
            </w:r>
          </w:p>
        </w:tc>
        <w:tc>
          <w:tcPr>
            <w:tcW w:type="dxa" w:w="2556"/>
            <w:vAlign w:val="top"/>
          </w:tcPr>
          <w:p>
            <w:r>
              <w:t>Assign owners and dates.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Decision</w:t>
            </w:r>
          </w:p>
        </w:tc>
        <w:tc>
          <w:tcPr>
            <w:tcW w:type="dxa" w:w="2556"/>
            <w:vAlign w:val="top"/>
          </w:tcPr>
          <w:p>
            <w:r>
              <w:t>Approve change, reject, require redesign, reauthorize, renegotiate, replace, or retire</w:t>
            </w:r>
          </w:p>
        </w:tc>
        <w:tc>
          <w:tcPr>
            <w:tcW w:type="dxa" w:w="2556"/>
            <w:vAlign w:val="top"/>
          </w:tcPr>
          <w:p>
            <w:r>
              <w:t>Name the authority.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Transition</w:t>
            </w:r>
          </w:p>
        </w:tc>
        <w:tc>
          <w:tcPr>
            <w:tcW w:type="dxa" w:w="2556"/>
            <w:vAlign w:val="top"/>
          </w:tcPr>
          <w:p>
            <w:r>
              <w:t>Continuity, migration, data closure, communication, and exit plan</w:t>
            </w:r>
          </w:p>
        </w:tc>
        <w:tc>
          <w:tcPr>
            <w:tcW w:type="dxa" w:w="2556"/>
            <w:vAlign w:val="top"/>
          </w:tcPr>
          <w:p>
            <w:r>
              <w:t>Control the change.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End of authorization</w:t>
            </w:r>
          </w:p>
        </w:tc>
        <w:tc>
          <w:tcPr>
            <w:tcW w:type="dxa" w:w="2556"/>
            <w:vAlign w:val="top"/>
          </w:tcPr>
          <w:p>
            <w:r>
              <w:t>Retired version, effective date, records retained, final liabilities, and closure authority</w:t>
            </w:r>
          </w:p>
        </w:tc>
        <w:tc>
          <w:tcPr>
            <w:tcW w:type="dxa" w:w="2556"/>
            <w:vAlign w:val="top"/>
          </w:tcPr>
          <w:p>
            <w:r>
              <w:t>Document when authorization ends.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</w:tbl>
    <w:p>
      <w:pPr>
        <w:pStyle w:val="Heading1"/>
      </w:pPr>
      <w:r>
        <w:t>Decision and follow-up</w:t>
      </w:r>
    </w:p>
    <w:p>
      <w:r>
        <w:rPr>
          <w:b/>
        </w:rPr>
        <w:t xml:space="preserve">Current conclusion or decision: </w:t>
      </w:r>
      <w:r/>
    </w:p>
    <w:p>
      <w:r>
        <w:rPr>
          <w:b/>
        </w:rPr>
        <w:t xml:space="preserve">Conditions and mandatory safeguards: </w:t>
      </w:r>
      <w:r/>
    </w:p>
    <w:p>
      <w:r>
        <w:rPr>
          <w:b/>
        </w:rPr>
        <w:t xml:space="preserve">Unresolved uncertainty: </w:t>
      </w:r>
      <w:r/>
    </w:p>
    <w:p>
      <w:r>
        <w:rPr>
          <w:b/>
        </w:rPr>
        <w:t xml:space="preserve">Dissenting views: </w:t>
      </w:r>
      <w:r/>
    </w:p>
    <w:p>
      <w:r>
        <w:rPr>
          <w:b/>
        </w:rPr>
        <w:t xml:space="preserve">Actions, owners, and due dates: </w:t>
      </w:r>
      <w:r/>
    </w:p>
    <w:p>
      <w:r>
        <w:rPr>
          <w:b/>
        </w:rPr>
        <w:t xml:space="preserve">Transition or stopping conditions: </w:t>
      </w:r>
      <w:r/>
    </w:p>
    <w:p>
      <w:r>
        <w:rPr>
          <w:b/>
        </w:rPr>
        <w:t xml:space="preserve">Next review and evidence required: </w:t>
      </w:r>
      <w:r/>
    </w:p>
    <w:p>
      <w:r>
        <w:t>Numerical examples and demonstration data in the companion are synthetic unless a documented source states otherwise. Replace them with authorized local evidence before institutional use.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AIHE-D05 - Material Change, Reauthorization, Renewal, Replacement, and Retirement Record</dc:title>
  <dc:subject>Digital Resource Companion V1.0</dc:subject>
  <dc:creator>Muthana Zouri; Carmen Marinela Cumpăt</dc:creator>
  <cp:keywords/>
  <dc:description>generated by python-docx</dc:description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