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Framework Status and Selection Guide</w:t>
      </w:r>
    </w:p>
    <w:p>
      <w:pPr>
        <w:jc w:val="centre"/>
      </w:pPr>
      <w:r>
        <w:rPr>
          <w:b/>
          <w:color w:val="7A2334"/>
        </w:rPr>
        <w:t>AIHE-RG01</w:t>
      </w:r>
    </w:p>
    <w:p>
      <w:pPr>
        <w:spacing w:after="40"/>
      </w:pPr>
      <w:r>
        <w:rPr>
          <w:b/>
        </w:rPr>
        <w:t xml:space="preserve">Primary chapter: </w:t>
      </w:r>
      <w:r>
        <w:t>12 — Decision Architecture and Lifecycle Governance</w:t>
      </w:r>
    </w:p>
    <w:p>
      <w:pPr>
        <w:spacing w:after="40"/>
      </w:pPr>
      <w:r>
        <w:rPr>
          <w:b/>
        </w:rPr>
        <w:t xml:space="preserve">Additional chapter alignment: </w:t>
      </w:r>
      <w:r>
        <w:t>2, 4, 5, 7, 9-12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Distinguish legal instruments, standards, guidance, reporting guidelines, appraisal tools, implementation frameworks, and author-developed decision aids; select them according to function and authority.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Instrument or family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Primary function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Appropriate use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Important limit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Jurisdiction or setting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Version or date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Next review</w:t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EU AI Act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Binding regulation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Risk-based legal governance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Determine applicable duties and implementation controls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Does not establish clinical effectiveness or cost-effectiveness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consolidated text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European Health Data Space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Binding regulation with phased implementation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Health-data access, exchange, secondary use and interoperability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Plan transition, governance and evidence infrastructure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Does not make all data uses automatically lawful or appropriate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implementation phase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EU HTA Regulation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Binding regulation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Joint clinical assessment context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Coordinate EU clinical evidence with national and local decisions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Does not replace economic, reimbursement or procurement decisions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scope and transition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ISO/IEC 42001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Voluntary international standard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AI management system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Structure organizational policy, roles, controls and continual improvement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Conformity does not prove local clinical benefit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2023 edition unless superseded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NIST AI RMF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Voluntary framework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Govern, Map, Measure and Manage risk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Structure generic AI risk-management work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Not healthcare-specific law or approval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 / United States origin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1.0 (2023) unless superseded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TRIPOD+AI / STARD-AI / DECIDE-AI / SPIRIT-AI / CONSORT-AI / CHEERS-AI / PRISMA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Reporting guidelines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study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Select by study design and evidence stage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Checklist adherence does not establish low bias or validity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 research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extension and correction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PROBAST+AI / GRADE-CERQual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Appraisal approaches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Risk of bias, applicability, or confidence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Critically assess prediction or qualitative synthesis evidence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Not regulatory or institutional approval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 evidence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guidance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CFIR / NASSS-CAT / RE-AIM-PRISM / TAM-UTAUT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Implementation frameworks and theories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Determinants, complexity, outcomes, sustainability, or acceptance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Match framework to implementation question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Not a complete AI safety, economic, or governance system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 implementation research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framework version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AI-HEVG and related book frameworks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Proposed author-developed decision aids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Integrated institutional decision support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Structure deliberation and documentation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Not externally standardized or validated instruments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Book-specific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Current companion version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AIHE-RG01 guide and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