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Circular Procurement and Supplier Scorecard</w:t>
      </w:r>
    </w:p>
    <w:p>
      <w:pPr>
        <w:jc w:val="centre"/>
      </w:pPr>
      <w:r>
        <w:rPr>
          <w:b/>
          <w:color w:val="7A2334"/>
        </w:rPr>
        <w:t>AIHE-E02</w:t>
      </w:r>
    </w:p>
    <w:p>
      <w:pPr>
        <w:spacing w:after="40"/>
      </w:pPr>
      <w:r>
        <w:rPr>
          <w:b/>
        </w:rPr>
        <w:t xml:space="preserve">Primary chapter: </w:t>
      </w:r>
      <w:r>
        <w:t>14 — Circular Procurement and Asset Stewardship</w:t>
      </w:r>
    </w:p>
    <w:p>
      <w:pPr>
        <w:spacing w:after="40"/>
      </w:pPr>
      <w:r>
        <w:rPr>
          <w:b/>
        </w:rPr>
        <w:t xml:space="preserve">Additional chapter alignment: </w:t>
      </w:r>
      <w:r>
        <w:t>9, 13, 14</w:t>
      </w:r>
    </w:p>
    <w:p>
      <w:pPr>
        <w:spacing w:after="40"/>
      </w:pPr>
      <w:r>
        <w:rPr>
          <w:b/>
        </w:rPr>
        <w:t xml:space="preserve">Legacy aliases: </w:t>
      </w:r>
      <w:r>
        <w:t>AIHE-CE2</w:t>
      </w:r>
    </w:p>
    <w:p>
      <w:pPr>
        <w:spacing w:after="40"/>
      </w:pPr>
      <w:r>
        <w:rPr>
          <w:b/>
        </w:rPr>
        <w:t xml:space="preserve">Version: </w:t>
      </w:r>
      <w:r>
        <w:t>V1.0</w:t>
      </w:r>
    </w:p>
    <w:p>
      <w:pPr>
        <w:pStyle w:val="Heading1"/>
      </w:pPr>
      <w:r>
        <w:t>Purpose</w:t>
      </w:r>
    </w:p>
    <w:p>
      <w:r>
        <w:t>Evaluate durability, modularity, repairability, interoperability, resource information, take-back, pricing, residual value, and exit.</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7A2334"/>
          </w:tcPr>
          <w:p>
            <w:r>
              <w:rPr>
                <w:b/>
                <w:color w:val="FFFFFF"/>
                <w:sz w:val="15"/>
              </w:rPr>
              <w:t>Criterion</w:t>
            </w:r>
          </w:p>
        </w:tc>
        <w:tc>
          <w:tcPr>
            <w:tcW w:type="dxa" w:w="2542"/>
            <w:shd w:fill="7A2334"/>
          </w:tcPr>
          <w:p>
            <w:r>
              <w:rPr>
                <w:b/>
                <w:color w:val="FFFFFF"/>
                <w:sz w:val="15"/>
              </w:rPr>
              <w:t>Requirement and evidence</w:t>
            </w:r>
          </w:p>
        </w:tc>
        <w:tc>
          <w:tcPr>
            <w:tcW w:type="dxa" w:w="2542"/>
            <w:shd w:fill="7A2334"/>
          </w:tcPr>
          <w:p>
            <w:r>
              <w:rPr>
                <w:b/>
                <w:color w:val="FFFFFF"/>
                <w:sz w:val="15"/>
              </w:rPr>
              <w:t>Score</w:t>
            </w:r>
          </w:p>
        </w:tc>
        <w:tc>
          <w:tcPr>
            <w:tcW w:type="dxa" w:w="2542"/>
            <w:shd w:fill="7A2334"/>
          </w:tcPr>
          <w:p>
            <w:r>
              <w:rPr>
                <w:b/>
                <w:color w:val="FFFFFF"/>
                <w:sz w:val="15"/>
              </w:rPr>
              <w:t>Lifecycle and economic implication</w:t>
            </w:r>
          </w:p>
        </w:tc>
        <w:tc>
          <w:tcPr>
            <w:tcW w:type="dxa" w:w="2542"/>
            <w:shd w:fill="7A2334"/>
          </w:tcPr>
          <w:p>
            <w:r>
              <w:rPr>
                <w:b/>
                <w:color w:val="FFFFFF"/>
                <w:sz w:val="15"/>
              </w:rPr>
              <w:t>Risk, safeguard, and contract term</w:t>
            </w:r>
          </w:p>
        </w:tc>
        <w:tc>
          <w:tcPr>
            <w:tcW w:type="dxa" w:w="2542"/>
            <w:shd w:fill="7A2334"/>
          </w:tcPr>
          <w:p>
            <w:r>
              <w:rPr>
                <w:b/>
                <w:color w:val="FFFFFF"/>
                <w:sz w:val="15"/>
              </w:rPr>
              <w:t>Owner and decision</w:t>
            </w:r>
          </w:p>
        </w:tc>
      </w:tr>
      <w:tr>
        <w:tc>
          <w:tcPr>
            <w:tcW w:type="dxa" w:w="2542"/>
            <w:vAlign w:val="top"/>
            <w:shd w:fill="F2E8EB"/>
          </w:tcPr>
          <w:p>
            <w:r>
              <w:rPr>
                <w:sz w:val="14"/>
              </w:rPr>
              <w:t>Durability and supported life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Modularity, upgradeability, and component availability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Repairability and maintenance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Interoperability, portability, and avoidance of lock-in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Energy, water, carbon, material, and utilization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Product circularity, provenance, and recovery information</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Take-back, refurbishment, remanufacture, and recovery</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Secure erasure, chain of custody, and disposition evidence</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r>
        <w:tc>
          <w:tcPr>
            <w:tcW w:type="dxa" w:w="2542"/>
            <w:vAlign w:val="top"/>
            <w:shd w:fill="F2E8EB"/>
          </w:tcPr>
          <w:p>
            <w:r>
              <w:rPr>
                <w:sz w:val="14"/>
              </w:rPr>
              <w:t>Pricing, residual value, risk sharing, and exit</w:t>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c>
          <w:tcPr>
            <w:tcW w:type="dxa" w:w="2542"/>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42"/>
        <w:gridCol w:w="2542"/>
        <w:gridCol w:w="2542"/>
        <w:gridCol w:w="2542"/>
        <w:gridCol w:w="2542"/>
        <w:gridCol w:w="2542"/>
      </w:tblGrid>
      <w:tr>
        <w:trPr>
          <w:tblHeader w:val="true"/>
        </w:trPr>
        <w:tc>
          <w:tcPr>
            <w:tcW w:type="dxa" w:w="2542"/>
            <w:shd w:fill="52565A"/>
          </w:tcPr>
          <w:p>
            <w:r>
              <w:rPr>
                <w:b/>
                <w:color w:val="FFFFFF"/>
                <w:sz w:val="15"/>
              </w:rPr>
              <w:t>Criterion</w:t>
            </w:r>
          </w:p>
        </w:tc>
        <w:tc>
          <w:tcPr>
            <w:tcW w:type="dxa" w:w="2542"/>
            <w:shd w:fill="52565A"/>
          </w:tcPr>
          <w:p>
            <w:r>
              <w:rPr>
                <w:b/>
                <w:color w:val="FFFFFF"/>
                <w:sz w:val="15"/>
              </w:rPr>
              <w:t>Requirement and evidence</w:t>
            </w:r>
          </w:p>
        </w:tc>
        <w:tc>
          <w:tcPr>
            <w:tcW w:type="dxa" w:w="2542"/>
            <w:shd w:fill="52565A"/>
          </w:tcPr>
          <w:p>
            <w:r>
              <w:rPr>
                <w:b/>
                <w:color w:val="FFFFFF"/>
                <w:sz w:val="15"/>
              </w:rPr>
              <w:t>Score</w:t>
            </w:r>
          </w:p>
        </w:tc>
        <w:tc>
          <w:tcPr>
            <w:tcW w:type="dxa" w:w="2542"/>
            <w:shd w:fill="52565A"/>
          </w:tcPr>
          <w:p>
            <w:r>
              <w:rPr>
                <w:b/>
                <w:color w:val="FFFFFF"/>
                <w:sz w:val="15"/>
              </w:rPr>
              <w:t>Lifecycle and economic implication</w:t>
            </w:r>
          </w:p>
        </w:tc>
        <w:tc>
          <w:tcPr>
            <w:tcW w:type="dxa" w:w="2542"/>
            <w:shd w:fill="52565A"/>
          </w:tcPr>
          <w:p>
            <w:r>
              <w:rPr>
                <w:b/>
                <w:color w:val="FFFFFF"/>
                <w:sz w:val="15"/>
              </w:rPr>
              <w:t>Risk, safeguard, and contract term</w:t>
            </w:r>
          </w:p>
        </w:tc>
        <w:tc>
          <w:tcPr>
            <w:tcW w:type="dxa" w:w="2542"/>
            <w:shd w:fill="52565A"/>
          </w:tcPr>
          <w:p>
            <w:r>
              <w:rPr>
                <w:b/>
                <w:color w:val="FFFFFF"/>
                <w:sz w:val="15"/>
              </w:rPr>
              <w:t>Owner and decision</w:t>
            </w:r>
          </w:p>
        </w:tc>
      </w:tr>
      <w:tr>
        <w:tc>
          <w:tcPr>
            <w:tcW w:type="dxa" w:w="2542"/>
            <w:vAlign w:val="top"/>
            <w:shd w:fill="EFEFEF"/>
          </w:tcPr>
          <w:p>
            <w:r>
              <w:rPr>
                <w:sz w:val="14"/>
              </w:rPr>
              <w:t>Durability and supported life</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Clinical service lead</w:t>
            </w:r>
          </w:p>
        </w:tc>
      </w:tr>
      <w:tr>
        <w:tc>
          <w:tcPr>
            <w:tcW w:type="dxa" w:w="2542"/>
            <w:vAlign w:val="top"/>
            <w:shd w:fill="EFEFEF"/>
          </w:tcPr>
          <w:p>
            <w:r>
              <w:rPr>
                <w:sz w:val="14"/>
              </w:rPr>
              <w:t>Modularity, upgradeability, and component availability</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Quality lead</w:t>
            </w:r>
          </w:p>
        </w:tc>
      </w:tr>
      <w:tr>
        <w:tc>
          <w:tcPr>
            <w:tcW w:type="dxa" w:w="2542"/>
            <w:vAlign w:val="top"/>
            <w:shd w:fill="EFEFEF"/>
          </w:tcPr>
          <w:p>
            <w:r>
              <w:rPr>
                <w:sz w:val="14"/>
              </w:rPr>
              <w:t>Repairability and maintenance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Data steward</w:t>
            </w:r>
          </w:p>
        </w:tc>
      </w:tr>
      <w:tr>
        <w:tc>
          <w:tcPr>
            <w:tcW w:type="dxa" w:w="2542"/>
            <w:vAlign w:val="top"/>
            <w:shd w:fill="EFEFEF"/>
          </w:tcPr>
          <w:p>
            <w:r>
              <w:rPr>
                <w:sz w:val="14"/>
              </w:rPr>
              <w:t>Interoperability, portability, and avoidance of lock-in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Health economist</w:t>
            </w:r>
          </w:p>
        </w:tc>
      </w:tr>
      <w:tr>
        <w:tc>
          <w:tcPr>
            <w:tcW w:type="dxa" w:w="2542"/>
            <w:vAlign w:val="top"/>
            <w:shd w:fill="EFEFEF"/>
          </w:tcPr>
          <w:p>
            <w:r>
              <w:rPr>
                <w:sz w:val="14"/>
              </w:rPr>
              <w:t>Energy, water, carbon, material, and utilization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Procurement lead</w:t>
            </w:r>
          </w:p>
        </w:tc>
      </w:tr>
      <w:tr>
        <w:tc>
          <w:tcPr>
            <w:tcW w:type="dxa" w:w="2542"/>
            <w:vAlign w:val="top"/>
            <w:shd w:fill="EFEFEF"/>
          </w:tcPr>
          <w:p>
            <w:r>
              <w:rPr>
                <w:sz w:val="14"/>
              </w:rPr>
              <w:t>Product circularity, provenance, and recovery information</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Clinical service lead</w:t>
            </w:r>
          </w:p>
        </w:tc>
      </w:tr>
      <w:tr>
        <w:tc>
          <w:tcPr>
            <w:tcW w:type="dxa" w:w="2542"/>
            <w:vAlign w:val="top"/>
            <w:shd w:fill="EFEFEF"/>
          </w:tcPr>
          <w:p>
            <w:r>
              <w:rPr>
                <w:sz w:val="14"/>
              </w:rPr>
              <w:t>Take-back, refurbishment, remanufacture, and recovery</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Quality lead</w:t>
            </w:r>
          </w:p>
        </w:tc>
      </w:tr>
      <w:tr>
        <w:tc>
          <w:tcPr>
            <w:tcW w:type="dxa" w:w="2542"/>
            <w:vAlign w:val="top"/>
            <w:shd w:fill="EFEFEF"/>
          </w:tcPr>
          <w:p>
            <w:r>
              <w:rPr>
                <w:sz w:val="14"/>
              </w:rPr>
              <w:t>Secure erasure, chain of custody, and disposition evidence</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Data steward</w:t>
            </w:r>
          </w:p>
        </w:tc>
      </w:tr>
      <w:tr>
        <w:tc>
          <w:tcPr>
            <w:tcW w:type="dxa" w:w="2542"/>
            <w:vAlign w:val="top"/>
            <w:shd w:fill="EFEFEF"/>
          </w:tcPr>
          <w:p>
            <w:r>
              <w:rPr>
                <w:sz w:val="14"/>
              </w:rPr>
              <w:t>Pricing, residual value, risk sharing, and exit</w:t>
            </w:r>
          </w:p>
        </w:tc>
        <w:tc>
          <w:tcPr>
            <w:tcW w:type="dxa" w:w="2542"/>
            <w:vAlign w:val="top"/>
          </w:tcPr>
          <w:p>
            <w:r>
              <w:rPr>
                <w:sz w:val="14"/>
              </w:rPr>
              <w:t>Synthetic local baseline report; controlled dataset v1.2; evidence cut-off 2026-01-31.</w:t>
            </w:r>
          </w:p>
        </w:tc>
        <w:tc>
          <w:tcPr>
            <w:tcW w:type="dxa" w:w="2542"/>
            <w:vAlign w:val="top"/>
          </w:tcPr>
          <w:p>
            <w:r>
              <w:rPr>
                <w:sz w:val="14"/>
              </w:rPr>
              <w:t>3</w:t>
            </w:r>
          </w:p>
        </w:tc>
        <w:tc>
          <w:tcPr>
            <w:tcW w:type="dxa" w:w="2542"/>
            <w:vAlign w:val="top"/>
          </w:tcPr>
          <w:p>
            <w:r>
              <w:rPr>
                <w:sz w:val="14"/>
              </w:rPr>
              <w:t>Potential capacity, cost, resilience, and environmental benefit; quantify before scale.</w:t>
            </w:r>
          </w:p>
        </w:tc>
        <w:tc>
          <w:tcPr>
            <w:tcW w:type="dxa" w:w="2542"/>
            <w:vAlign w:val="top"/>
          </w:tcPr>
          <w:p>
            <w:r>
              <w:rPr>
                <w:sz w:val="14"/>
              </w:rPr>
              <w:t>Moderate residual risk; remediate before scale and review monthly during pilot.</w:t>
            </w:r>
          </w:p>
        </w:tc>
        <w:tc>
          <w:tcPr>
            <w:tcW w:type="dxa" w:w="2542"/>
            <w:vAlign w:val="top"/>
          </w:tcPr>
          <w:p>
            <w:r>
              <w:rPr>
                <w:sz w:val="14"/>
              </w:rPr>
              <w:t>Health economist</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AIHE-E02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