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AIHE-E02 - Circular Procurement and Supplier Scorecard</w:t>
      </w:r>
    </w:p>
    <w:p>
      <w:r>
        <w:rPr>
          <w:b/>
        </w:rPr>
        <w:t>Chapter 14: Circular Procurement and Asset Stewardship</w:t>
      </w:r>
    </w:p>
    <w:p>
      <w:r>
        <w:t>Evaluate durability, modularity, repairability, interoperability, resource information, take-back, pricing, residual value, and exit.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AIHE-E02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Eligibility</w:t>
            </w:r>
          </w:p>
        </w:tc>
        <w:tc>
          <w:tcPr>
            <w:tcW w:type="dxa" w:w="2556"/>
            <w:vAlign w:val="top"/>
          </w:tcPr>
          <w:p>
            <w:r>
              <w:t>Mandatory safety, regulatory, cybersecurity, interoperability, support, and continuity requirements</w:t>
            </w:r>
          </w:p>
        </w:tc>
        <w:tc>
          <w:tcPr>
            <w:tcW w:type="dxa" w:w="2556"/>
            <w:vAlign w:val="top"/>
          </w:tcPr>
          <w:p>
            <w:r>
              <w:t>Apply before comparative scoring.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Durability</w:t>
            </w:r>
          </w:p>
        </w:tc>
        <w:tc>
          <w:tcPr>
            <w:tcW w:type="dxa" w:w="2556"/>
            <w:vAlign w:val="top"/>
          </w:tcPr>
          <w:p>
            <w:r>
              <w:t>Design life, support commitment, reliability, and warranty</w:t>
            </w:r>
          </w:p>
        </w:tc>
        <w:tc>
          <w:tcPr>
            <w:tcW w:type="dxa" w:w="2556"/>
            <w:vAlign w:val="top"/>
          </w:tcPr>
          <w:p>
            <w:r>
              <w:t>Require evidence.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Modularity and repair</w:t>
            </w:r>
          </w:p>
        </w:tc>
        <w:tc>
          <w:tcPr>
            <w:tcW w:type="dxa" w:w="2556"/>
            <w:vAlign w:val="top"/>
          </w:tcPr>
          <w:p>
            <w:r>
              <w:t>Replaceable components, diagnostic access, repair documentation, tools, and parts</w:t>
            </w:r>
          </w:p>
        </w:tc>
        <w:tc>
          <w:tcPr>
            <w:tcW w:type="dxa" w:w="2556"/>
            <w:vAlign w:val="top"/>
          </w:tcPr>
          <w:p>
            <w:r>
              <w:t>Assess supportability.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Digital support</w:t>
            </w:r>
          </w:p>
        </w:tc>
        <w:tc>
          <w:tcPr>
            <w:tcW w:type="dxa" w:w="2556"/>
            <w:vAlign w:val="top"/>
          </w:tcPr>
          <w:p>
            <w:r>
              <w:t>Software, firmware, model, interface, and cybersecurity support periods</w:t>
            </w:r>
          </w:p>
        </w:tc>
        <w:tc>
          <w:tcPr>
            <w:tcW w:type="dxa" w:w="2556"/>
            <w:vAlign w:val="top"/>
          </w:tcPr>
          <w:p>
            <w:r>
              <w:t>Physical life alone is insufficient.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Circular terms</w:t>
            </w:r>
          </w:p>
        </w:tc>
        <w:tc>
          <w:tcPr>
            <w:tcW w:type="dxa" w:w="2556"/>
            <w:vAlign w:val="top"/>
          </w:tcPr>
          <w:p>
            <w:r>
              <w:t>Reuse, refurbishment, remanufacture, take-back, recovery, and final-destination evidence</w:t>
            </w:r>
          </w:p>
        </w:tc>
        <w:tc>
          <w:tcPr>
            <w:tcW w:type="dxa" w:w="2556"/>
            <w:vAlign w:val="top"/>
          </w:tcPr>
          <w:p>
            <w:r>
              <w:t>Contract responsibilities.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Data and exit</w:t>
            </w:r>
          </w:p>
        </w:tc>
        <w:tc>
          <w:tcPr>
            <w:tcW w:type="dxa" w:w="2556"/>
            <w:vAlign w:val="top"/>
          </w:tcPr>
          <w:p>
            <w:r>
              <w:t>Portability, secure erasure, configuration export, and transition assistance</w:t>
            </w:r>
          </w:p>
        </w:tc>
        <w:tc>
          <w:tcPr>
            <w:tcW w:type="dxa" w:w="2556"/>
            <w:vAlign w:val="top"/>
          </w:tcPr>
          <w:p>
            <w:r>
              <w:t>Preserve institutional choice.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Environmental disclosure</w:t>
            </w:r>
          </w:p>
        </w:tc>
        <w:tc>
          <w:tcPr>
            <w:tcW w:type="dxa" w:w="2556"/>
            <w:vAlign w:val="top"/>
          </w:tcPr>
          <w:p>
            <w:r>
              <w:t>Energy, water, material, carbon, packaging, transport, and methods</w:t>
            </w:r>
          </w:p>
        </w:tc>
        <w:tc>
          <w:tcPr>
            <w:tcW w:type="dxa" w:w="2556"/>
            <w:vAlign w:val="top"/>
          </w:tcPr>
          <w:p>
            <w:r>
              <w:t>Record provenance and limits.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Service model</w:t>
            </w:r>
          </w:p>
        </w:tc>
        <w:tc>
          <w:tcPr>
            <w:tcW w:type="dxa" w:w="2556"/>
            <w:vAlign w:val="top"/>
          </w:tcPr>
          <w:p>
            <w:r>
              <w:t>Purchase, lease, managed service, shared service, or performance arrangement</w:t>
            </w:r>
          </w:p>
        </w:tc>
        <w:tc>
          <w:tcPr>
            <w:tcW w:type="dxa" w:w="2556"/>
            <w:vAlign w:val="top"/>
          </w:tcPr>
          <w:p>
            <w:r>
              <w:t>Align incentives with lifecycle value.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Award decision</w:t>
            </w:r>
          </w:p>
        </w:tc>
        <w:tc>
          <w:tcPr>
            <w:tcW w:type="dxa" w:w="2556"/>
            <w:vAlign w:val="top"/>
          </w:tcPr>
          <w:p>
            <w:r>
              <w:t>Mandatory status, score, evidence confidence, conditions, and authority</w:t>
            </w:r>
          </w:p>
        </w:tc>
        <w:tc>
          <w:tcPr>
            <w:tcW w:type="dxa" w:w="2556"/>
            <w:vAlign w:val="top"/>
          </w:tcPr>
          <w:p>
            <w:r>
              <w:t>Do not let scoring compensate for failed safeguards.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AIHE-E02 - Circular Procurement and Supplier Scorecard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