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Supported Asset-Life Decision Record</w:t>
      </w:r>
    </w:p>
    <w:p>
      <w:pPr>
        <w:jc w:val="centre"/>
      </w:pPr>
      <w:r>
        <w:rPr>
          <w:b/>
          <w:color w:val="7A2334"/>
        </w:rPr>
        <w:t>AIHE-E03</w:t>
      </w:r>
    </w:p>
    <w:p>
      <w:pPr>
        <w:spacing w:after="40"/>
      </w:pPr>
      <w:r>
        <w:rPr>
          <w:b/>
        </w:rPr>
        <w:t xml:space="preserve">Primary chapter: </w:t>
      </w:r>
      <w:r>
        <w:t>14 — Circular Procurement and Asset Stewardship</w:t>
      </w:r>
    </w:p>
    <w:p>
      <w:pPr>
        <w:spacing w:after="40"/>
      </w:pPr>
      <w:r>
        <w:rPr>
          <w:b/>
        </w:rPr>
        <w:t xml:space="preserve">Additional chapter alignment: </w:t>
      </w:r>
      <w:r>
        <w:t>6, 14, 15</w:t>
      </w:r>
    </w:p>
    <w:p>
      <w:pPr>
        <w:spacing w:after="40"/>
      </w:pPr>
      <w:r>
        <w:rPr>
          <w:b/>
        </w:rPr>
        <w:t xml:space="preserve">Legacy aliases: </w:t>
      </w:r>
      <w:r>
        <w:t>AIHE-CE3</w:t>
      </w:r>
    </w:p>
    <w:p>
      <w:pPr>
        <w:spacing w:after="40"/>
      </w:pPr>
      <w:r>
        <w:rPr>
          <w:b/>
        </w:rPr>
        <w:t xml:space="preserve">Version: </w:t>
      </w:r>
      <w:r>
        <w:t>V1.0</w:t>
      </w:r>
    </w:p>
    <w:p>
      <w:pPr>
        <w:pStyle w:val="Heading1"/>
      </w:pPr>
      <w:r>
        <w:t>Purpose</w:t>
      </w:r>
    </w:p>
    <w:p>
      <w:r>
        <w:t>Compare maintain, refurbish, replace, and shared-service options across suitability, life, cost, resources, resilience, and disposition.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7A2334"/>
          </w:tcPr>
          <w:p>
            <w:r>
              <w:rPr>
                <w:b/>
                <w:color w:val="FFFFFF"/>
                <w:sz w:val="15"/>
              </w:rPr>
              <w:t>Decision factor</w:t>
            </w:r>
          </w:p>
        </w:tc>
        <w:tc>
          <w:tcPr>
            <w:tcW w:type="dxa" w:w="2542"/>
            <w:shd w:fill="7A2334"/>
          </w:tcPr>
          <w:p>
            <w:r>
              <w:rPr>
                <w:b/>
                <w:color w:val="FFFFFF"/>
                <w:sz w:val="15"/>
              </w:rPr>
              <w:t>Maintain or repair</w:t>
            </w:r>
          </w:p>
        </w:tc>
        <w:tc>
          <w:tcPr>
            <w:tcW w:type="dxa" w:w="2542"/>
            <w:shd w:fill="7A2334"/>
          </w:tcPr>
          <w:p>
            <w:r>
              <w:rPr>
                <w:b/>
                <w:color w:val="FFFFFF"/>
                <w:sz w:val="15"/>
              </w:rPr>
              <w:t>Refurbish or remanufacture</w:t>
            </w:r>
          </w:p>
        </w:tc>
        <w:tc>
          <w:tcPr>
            <w:tcW w:type="dxa" w:w="2542"/>
            <w:shd w:fill="7A2334"/>
          </w:tcPr>
          <w:p>
            <w:r>
              <w:rPr>
                <w:b/>
                <w:color w:val="FFFFFF"/>
                <w:sz w:val="15"/>
              </w:rPr>
              <w:t>Replace</w:t>
            </w:r>
          </w:p>
        </w:tc>
        <w:tc>
          <w:tcPr>
            <w:tcW w:type="dxa" w:w="2542"/>
            <w:shd w:fill="7A2334"/>
          </w:tcPr>
          <w:p>
            <w:r>
              <w:rPr>
                <w:b/>
                <w:color w:val="FFFFFF"/>
                <w:sz w:val="15"/>
              </w:rPr>
              <w:t>Shared service</w:t>
            </w:r>
          </w:p>
        </w:tc>
        <w:tc>
          <w:tcPr>
            <w:tcW w:type="dxa" w:w="2542"/>
            <w:shd w:fill="7A2334"/>
          </w:tcPr>
          <w:p>
            <w:r>
              <w:rPr>
                <w:b/>
                <w:color w:val="FFFFFF"/>
                <w:sz w:val="15"/>
              </w:rPr>
              <w:t>Evidence, uncertainty, and decision</w:t>
            </w:r>
          </w:p>
        </w:tc>
      </w:tr>
      <w:tr>
        <w:tc>
          <w:tcPr>
            <w:tcW w:type="dxa" w:w="2542"/>
            <w:vAlign w:val="top"/>
            <w:shd w:fill="F2E8EB"/>
          </w:tcPr>
          <w:p>
            <w:r>
              <w:rPr>
                <w:sz w:val="14"/>
              </w:rPr>
              <w:t>Clinical and technical suitability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Remaining useful life and reliability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Validation and regulatory burden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Lifecycle cost and price exposure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Energy, water, material, and waste effects</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Software, cybersecurity, and interoperability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Workforce, workflow, downtime, and transition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Resilience, dependency, and exit</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Residual value and final disposition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52565A"/>
          </w:tcPr>
          <w:p>
            <w:r>
              <w:rPr>
                <w:b/>
                <w:color w:val="FFFFFF"/>
                <w:sz w:val="15"/>
              </w:rPr>
              <w:t>Decision factor</w:t>
            </w:r>
          </w:p>
        </w:tc>
        <w:tc>
          <w:tcPr>
            <w:tcW w:type="dxa" w:w="2542"/>
            <w:shd w:fill="52565A"/>
          </w:tcPr>
          <w:p>
            <w:r>
              <w:rPr>
                <w:b/>
                <w:color w:val="FFFFFF"/>
                <w:sz w:val="15"/>
              </w:rPr>
              <w:t>Maintain or repair</w:t>
            </w:r>
          </w:p>
        </w:tc>
        <w:tc>
          <w:tcPr>
            <w:tcW w:type="dxa" w:w="2542"/>
            <w:shd w:fill="52565A"/>
          </w:tcPr>
          <w:p>
            <w:r>
              <w:rPr>
                <w:b/>
                <w:color w:val="FFFFFF"/>
                <w:sz w:val="15"/>
              </w:rPr>
              <w:t>Refurbish or remanufacture</w:t>
            </w:r>
          </w:p>
        </w:tc>
        <w:tc>
          <w:tcPr>
            <w:tcW w:type="dxa" w:w="2542"/>
            <w:shd w:fill="52565A"/>
          </w:tcPr>
          <w:p>
            <w:r>
              <w:rPr>
                <w:b/>
                <w:color w:val="FFFFFF"/>
                <w:sz w:val="15"/>
              </w:rPr>
              <w:t>Replace</w:t>
            </w:r>
          </w:p>
        </w:tc>
        <w:tc>
          <w:tcPr>
            <w:tcW w:type="dxa" w:w="2542"/>
            <w:shd w:fill="52565A"/>
          </w:tcPr>
          <w:p>
            <w:r>
              <w:rPr>
                <w:b/>
                <w:color w:val="FFFFFF"/>
                <w:sz w:val="15"/>
              </w:rPr>
              <w:t>Shared service</w:t>
            </w:r>
          </w:p>
        </w:tc>
        <w:tc>
          <w:tcPr>
            <w:tcW w:type="dxa" w:w="2542"/>
            <w:shd w:fill="52565A"/>
          </w:tcPr>
          <w:p>
            <w:r>
              <w:rPr>
                <w:b/>
                <w:color w:val="FFFFFF"/>
                <w:sz w:val="15"/>
              </w:rPr>
              <w:t>Evidence, uncertainty, and decision</w:t>
            </w:r>
          </w:p>
        </w:tc>
      </w:tr>
      <w:tr>
        <w:tc>
          <w:tcPr>
            <w:tcW w:type="dxa" w:w="2542"/>
            <w:vAlign w:val="top"/>
            <w:shd w:fill="EFEFEF"/>
          </w:tcPr>
          <w:p>
            <w:r>
              <w:rPr>
                <w:sz w:val="14"/>
              </w:rPr>
              <w:t>Clinical and technical suitability</w:t>
            </w:r>
          </w:p>
        </w:tc>
        <w:tc>
          <w:tcPr>
            <w:tcW w:type="dxa" w:w="2542"/>
            <w:vAlign w:val="top"/>
          </w:tcPr>
          <w:p>
            <w:r>
              <w:rPr>
                <w:sz w:val="14"/>
              </w:rPr>
              <w:t>Synthetic example for Clinical and technical suitability; replace with local evidence.</w:t>
            </w:r>
          </w:p>
        </w:tc>
        <w:tc>
          <w:tcPr>
            <w:tcW w:type="dxa" w:w="2542"/>
            <w:vAlign w:val="top"/>
          </w:tcPr>
          <w:p>
            <w:r>
              <w:rPr>
                <w:sz w:val="14"/>
              </w:rPr>
              <w:t>Synthetic example for Clinical and technical suitability; replace with local evidence.</w:t>
            </w:r>
          </w:p>
        </w:tc>
        <w:tc>
          <w:tcPr>
            <w:tcW w:type="dxa" w:w="2542"/>
            <w:vAlign w:val="top"/>
          </w:tcPr>
          <w:p>
            <w:r>
              <w:rPr>
                <w:sz w:val="14"/>
              </w:rPr>
              <w:t>Synthetic example for Clinical and technical suitability; replace with local evidence.</w:t>
            </w:r>
          </w:p>
        </w:tc>
        <w:tc>
          <w:tcPr>
            <w:tcW w:type="dxa" w:w="2542"/>
            <w:vAlign w:val="top"/>
          </w:tcPr>
          <w:p>
            <w:r>
              <w:rPr>
                <w:sz w:val="14"/>
              </w:rPr>
              <w:t>Synthetic example for Clinical and technical suitability;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Remaining useful life and reliability</w:t>
            </w:r>
          </w:p>
        </w:tc>
        <w:tc>
          <w:tcPr>
            <w:tcW w:type="dxa" w:w="2542"/>
            <w:vAlign w:val="top"/>
          </w:tcPr>
          <w:p>
            <w:r>
              <w:rPr>
                <w:sz w:val="14"/>
              </w:rPr>
              <w:t>Synthetic example for Remaining useful life and reliability; replace with local evidence.</w:t>
            </w:r>
          </w:p>
        </w:tc>
        <w:tc>
          <w:tcPr>
            <w:tcW w:type="dxa" w:w="2542"/>
            <w:vAlign w:val="top"/>
          </w:tcPr>
          <w:p>
            <w:r>
              <w:rPr>
                <w:sz w:val="14"/>
              </w:rPr>
              <w:t>Synthetic example for Remaining useful life and reliability; replace with local evidence.</w:t>
            </w:r>
          </w:p>
        </w:tc>
        <w:tc>
          <w:tcPr>
            <w:tcW w:type="dxa" w:w="2542"/>
            <w:vAlign w:val="top"/>
          </w:tcPr>
          <w:p>
            <w:r>
              <w:rPr>
                <w:sz w:val="14"/>
              </w:rPr>
              <w:t>Synthetic example for Remaining useful life and reliability; replace with local evidence.</w:t>
            </w:r>
          </w:p>
        </w:tc>
        <w:tc>
          <w:tcPr>
            <w:tcW w:type="dxa" w:w="2542"/>
            <w:vAlign w:val="top"/>
          </w:tcPr>
          <w:p>
            <w:r>
              <w:rPr>
                <w:sz w:val="14"/>
              </w:rPr>
              <w:t>Synthetic example for Remaining useful life and reliability;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Validation and regulatory burden</w:t>
            </w:r>
          </w:p>
        </w:tc>
        <w:tc>
          <w:tcPr>
            <w:tcW w:type="dxa" w:w="2542"/>
            <w:vAlign w:val="top"/>
          </w:tcPr>
          <w:p>
            <w:r>
              <w:rPr>
                <w:sz w:val="14"/>
              </w:rPr>
              <w:t>Synthetic example for Validation and regulatory burden; replace with local evidence.</w:t>
            </w:r>
          </w:p>
        </w:tc>
        <w:tc>
          <w:tcPr>
            <w:tcW w:type="dxa" w:w="2542"/>
            <w:vAlign w:val="top"/>
          </w:tcPr>
          <w:p>
            <w:r>
              <w:rPr>
                <w:sz w:val="14"/>
              </w:rPr>
              <w:t>Synthetic example for Validation and regulatory burden; replace with local evidence.</w:t>
            </w:r>
          </w:p>
        </w:tc>
        <w:tc>
          <w:tcPr>
            <w:tcW w:type="dxa" w:w="2542"/>
            <w:vAlign w:val="top"/>
          </w:tcPr>
          <w:p>
            <w:r>
              <w:rPr>
                <w:sz w:val="14"/>
              </w:rPr>
              <w:t>Synthetic example for Validation and regulatory burden; replace with local evidence.</w:t>
            </w:r>
          </w:p>
        </w:tc>
        <w:tc>
          <w:tcPr>
            <w:tcW w:type="dxa" w:w="2542"/>
            <w:vAlign w:val="top"/>
          </w:tcPr>
          <w:p>
            <w:r>
              <w:rPr>
                <w:sz w:val="14"/>
              </w:rPr>
              <w:t>Synthetic example for Validation and regulatory burden;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Lifecycle cost and price exposure</w:t>
            </w:r>
          </w:p>
        </w:tc>
        <w:tc>
          <w:tcPr>
            <w:tcW w:type="dxa" w:w="2542"/>
            <w:vAlign w:val="top"/>
          </w:tcPr>
          <w:p>
            <w:r>
              <w:rPr>
                <w:sz w:val="14"/>
              </w:rPr>
              <w:t>Synthetic example for Lifecycle cost and price exposure; replace with local evidence.</w:t>
            </w:r>
          </w:p>
        </w:tc>
        <w:tc>
          <w:tcPr>
            <w:tcW w:type="dxa" w:w="2542"/>
            <w:vAlign w:val="top"/>
          </w:tcPr>
          <w:p>
            <w:r>
              <w:rPr>
                <w:sz w:val="14"/>
              </w:rPr>
              <w:t>Synthetic example for Lifecycle cost and price exposure; replace with local evidence.</w:t>
            </w:r>
          </w:p>
        </w:tc>
        <w:tc>
          <w:tcPr>
            <w:tcW w:type="dxa" w:w="2542"/>
            <w:vAlign w:val="top"/>
          </w:tcPr>
          <w:p>
            <w:r>
              <w:rPr>
                <w:sz w:val="14"/>
              </w:rPr>
              <w:t>Synthetic example for Lifecycle cost and price exposure; replace with local evidence.</w:t>
            </w:r>
          </w:p>
        </w:tc>
        <w:tc>
          <w:tcPr>
            <w:tcW w:type="dxa" w:w="2542"/>
            <w:vAlign w:val="top"/>
          </w:tcPr>
          <w:p>
            <w:r>
              <w:rPr>
                <w:sz w:val="14"/>
              </w:rPr>
              <w:t>Synthetic example for Lifecycle cost and price exposure;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Energy, water, material, and waste effects</w:t>
            </w:r>
          </w:p>
        </w:tc>
        <w:tc>
          <w:tcPr>
            <w:tcW w:type="dxa" w:w="2542"/>
            <w:vAlign w:val="top"/>
          </w:tcPr>
          <w:p>
            <w:r>
              <w:rPr>
                <w:sz w:val="14"/>
              </w:rPr>
              <w:t>Synthetic example for Energy, water, material, and waste effects; replace with local evidence.</w:t>
            </w:r>
          </w:p>
        </w:tc>
        <w:tc>
          <w:tcPr>
            <w:tcW w:type="dxa" w:w="2542"/>
            <w:vAlign w:val="top"/>
          </w:tcPr>
          <w:p>
            <w:r>
              <w:rPr>
                <w:sz w:val="14"/>
              </w:rPr>
              <w:t>Synthetic example for Energy, water, material, and waste effects; replace with local evidence.</w:t>
            </w:r>
          </w:p>
        </w:tc>
        <w:tc>
          <w:tcPr>
            <w:tcW w:type="dxa" w:w="2542"/>
            <w:vAlign w:val="top"/>
          </w:tcPr>
          <w:p>
            <w:r>
              <w:rPr>
                <w:sz w:val="14"/>
              </w:rPr>
              <w:t>Synthetic example for Energy, water, material, and waste effects; replace with local evidence.</w:t>
            </w:r>
          </w:p>
        </w:tc>
        <w:tc>
          <w:tcPr>
            <w:tcW w:type="dxa" w:w="2542"/>
            <w:vAlign w:val="top"/>
          </w:tcPr>
          <w:p>
            <w:r>
              <w:rPr>
                <w:sz w:val="14"/>
              </w:rPr>
              <w:t>Synthetic example for Energy, water, material, and waste effects;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Software, cybersecurity, and interoperability</w:t>
            </w:r>
          </w:p>
        </w:tc>
        <w:tc>
          <w:tcPr>
            <w:tcW w:type="dxa" w:w="2542"/>
            <w:vAlign w:val="top"/>
          </w:tcPr>
          <w:p>
            <w:r>
              <w:rPr>
                <w:sz w:val="14"/>
              </w:rPr>
              <w:t>Synthetic example for Software, cybersecurity, and interoperability; replace with local evidence.</w:t>
            </w:r>
          </w:p>
        </w:tc>
        <w:tc>
          <w:tcPr>
            <w:tcW w:type="dxa" w:w="2542"/>
            <w:vAlign w:val="top"/>
          </w:tcPr>
          <w:p>
            <w:r>
              <w:rPr>
                <w:sz w:val="14"/>
              </w:rPr>
              <w:t>Synthetic example for Software, cybersecurity, and interoperability; replace with local evidence.</w:t>
            </w:r>
          </w:p>
        </w:tc>
        <w:tc>
          <w:tcPr>
            <w:tcW w:type="dxa" w:w="2542"/>
            <w:vAlign w:val="top"/>
          </w:tcPr>
          <w:p>
            <w:r>
              <w:rPr>
                <w:sz w:val="14"/>
              </w:rPr>
              <w:t>Synthetic example for Software, cybersecurity, and interoperability; replace with local evidence.</w:t>
            </w:r>
          </w:p>
        </w:tc>
        <w:tc>
          <w:tcPr>
            <w:tcW w:type="dxa" w:w="2542"/>
            <w:vAlign w:val="top"/>
          </w:tcPr>
          <w:p>
            <w:r>
              <w:rPr>
                <w:sz w:val="14"/>
              </w:rPr>
              <w:t>Synthetic example for Software, cybersecurity, and interoperability;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Workforce, workflow, downtime, and transition</w:t>
            </w:r>
          </w:p>
        </w:tc>
        <w:tc>
          <w:tcPr>
            <w:tcW w:type="dxa" w:w="2542"/>
            <w:vAlign w:val="top"/>
          </w:tcPr>
          <w:p>
            <w:r>
              <w:rPr>
                <w:sz w:val="14"/>
              </w:rPr>
              <w:t>Synthetic example for Workforce, workflow, downtime, and transition; replace with local evidence.</w:t>
            </w:r>
          </w:p>
        </w:tc>
        <w:tc>
          <w:tcPr>
            <w:tcW w:type="dxa" w:w="2542"/>
            <w:vAlign w:val="top"/>
          </w:tcPr>
          <w:p>
            <w:r>
              <w:rPr>
                <w:sz w:val="14"/>
              </w:rPr>
              <w:t>Synthetic example for Workforce, workflow, downtime, and transition; replace with local evidence.</w:t>
            </w:r>
          </w:p>
        </w:tc>
        <w:tc>
          <w:tcPr>
            <w:tcW w:type="dxa" w:w="2542"/>
            <w:vAlign w:val="top"/>
          </w:tcPr>
          <w:p>
            <w:r>
              <w:rPr>
                <w:sz w:val="14"/>
              </w:rPr>
              <w:t>Synthetic example for Workforce, workflow, downtime, and transition; replace with local evidence.</w:t>
            </w:r>
          </w:p>
        </w:tc>
        <w:tc>
          <w:tcPr>
            <w:tcW w:type="dxa" w:w="2542"/>
            <w:vAlign w:val="top"/>
          </w:tcPr>
          <w:p>
            <w:r>
              <w:rPr>
                <w:sz w:val="14"/>
              </w:rPr>
              <w:t>Synthetic example for Workforce, workflow, downtime, and transition;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Resilience, dependency, and exit</w:t>
            </w:r>
          </w:p>
        </w:tc>
        <w:tc>
          <w:tcPr>
            <w:tcW w:type="dxa" w:w="2542"/>
            <w:vAlign w:val="top"/>
          </w:tcPr>
          <w:p>
            <w:r>
              <w:rPr>
                <w:sz w:val="14"/>
              </w:rPr>
              <w:t>Synthetic example for Resilience, dependency, and exit; replace with local evidence.</w:t>
            </w:r>
          </w:p>
        </w:tc>
        <w:tc>
          <w:tcPr>
            <w:tcW w:type="dxa" w:w="2542"/>
            <w:vAlign w:val="top"/>
          </w:tcPr>
          <w:p>
            <w:r>
              <w:rPr>
                <w:sz w:val="14"/>
              </w:rPr>
              <w:t>Synthetic example for Resilience, dependency, and exit; replace with local evidence.</w:t>
            </w:r>
          </w:p>
        </w:tc>
        <w:tc>
          <w:tcPr>
            <w:tcW w:type="dxa" w:w="2542"/>
            <w:vAlign w:val="top"/>
          </w:tcPr>
          <w:p>
            <w:r>
              <w:rPr>
                <w:sz w:val="14"/>
              </w:rPr>
              <w:t>Synthetic example for Resilience, dependency, and exit; replace with local evidence.</w:t>
            </w:r>
          </w:p>
        </w:tc>
        <w:tc>
          <w:tcPr>
            <w:tcW w:type="dxa" w:w="2542"/>
            <w:vAlign w:val="top"/>
          </w:tcPr>
          <w:p>
            <w:r>
              <w:rPr>
                <w:sz w:val="14"/>
              </w:rPr>
              <w:t>Synthetic example for Resilience, dependency, and exit;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Residual value and final disposition</w:t>
            </w:r>
          </w:p>
        </w:tc>
        <w:tc>
          <w:tcPr>
            <w:tcW w:type="dxa" w:w="2542"/>
            <w:vAlign w:val="top"/>
          </w:tcPr>
          <w:p>
            <w:r>
              <w:rPr>
                <w:sz w:val="14"/>
              </w:rPr>
              <w:t>Synthetic example for Residual value and final disposition; replace with local evidence.</w:t>
            </w:r>
          </w:p>
        </w:tc>
        <w:tc>
          <w:tcPr>
            <w:tcW w:type="dxa" w:w="2542"/>
            <w:vAlign w:val="top"/>
          </w:tcPr>
          <w:p>
            <w:r>
              <w:rPr>
                <w:sz w:val="14"/>
              </w:rPr>
              <w:t>Synthetic example for Residual value and final disposition; replace with local evidence.</w:t>
            </w:r>
          </w:p>
        </w:tc>
        <w:tc>
          <w:tcPr>
            <w:tcW w:type="dxa" w:w="2542"/>
            <w:vAlign w:val="top"/>
          </w:tcPr>
          <w:p>
            <w:r>
              <w:rPr>
                <w:sz w:val="14"/>
              </w:rPr>
              <w:t>Synthetic example for Residual value and final disposition; replace with local evidence.</w:t>
            </w:r>
          </w:p>
        </w:tc>
        <w:tc>
          <w:tcPr>
            <w:tcW w:type="dxa" w:w="2542"/>
            <w:vAlign w:val="top"/>
          </w:tcPr>
          <w:p>
            <w:r>
              <w:rPr>
                <w:sz w:val="14"/>
              </w:rPr>
              <w:t>Synthetic example for Residual value and final disposition; replace with local evidence.</w:t>
            </w:r>
          </w:p>
        </w:tc>
        <w:tc>
          <w:tcPr>
            <w:tcW w:type="dxa" w:w="2542"/>
            <w:vAlign w:val="top"/>
          </w:tcPr>
          <w:p>
            <w:r>
              <w:rPr>
                <w:sz w:val="14"/>
              </w:rPr>
              <w:t>Synthetic local baseline report; controlled dataset v1.2; evidence cut-off 2026-01-31.</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AIHE-E03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