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AIHE-E03 - Supported Asset-Life Decision Record</w:t>
      </w:r>
    </w:p>
    <w:p>
      <w:r>
        <w:rPr>
          <w:b/>
        </w:rPr>
        <w:t>Chapter 14: Circular Procurement and Asset Stewardship</w:t>
      </w:r>
    </w:p>
    <w:p>
      <w:r>
        <w:t>Compare maintain, refurbish, replace, and shared-service options across suitability, life, cost, resources, resilience, and disposition.</w:t>
      </w:r>
    </w:p>
    <w:p>
      <w:pPr>
        <w:pStyle w:val="Heading1"/>
      </w:pPr>
      <w:r>
        <w:t>Record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</w:tcPr>
          <w:p>
            <w:r>
              <w:t>Stable identifier</w:t>
            </w:r>
          </w:p>
        </w:tc>
        <w:tc>
          <w:tcPr>
            <w:tcW w:type="dxa" w:w="5112"/>
          </w:tcPr>
          <w:p>
            <w:r>
              <w:t>AIHE-E03</w:t>
            </w:r>
          </w:p>
        </w:tc>
      </w:tr>
      <w:tr>
        <w:tc>
          <w:tcPr>
            <w:tcW w:type="dxa" w:w="5112"/>
          </w:tcPr>
          <w:p>
            <w:r>
              <w:t>Resource version</w:t>
            </w:r>
          </w:p>
        </w:tc>
        <w:tc>
          <w:tcPr>
            <w:tcW w:type="dxa" w:w="5112"/>
          </w:tcPr>
          <w:p>
            <w:r>
              <w:t>V1.0</w:t>
            </w:r>
          </w:p>
        </w:tc>
      </w:tr>
      <w:tr>
        <w:tc>
          <w:tcPr>
            <w:tcW w:type="dxa" w:w="5112"/>
          </w:tcPr>
          <w:p>
            <w:r>
              <w:t>Release date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  <w:tr>
        <w:tc>
          <w:tcPr>
            <w:tcW w:type="dxa" w:w="5112"/>
          </w:tcPr>
          <w:p>
            <w:r>
              <w:t>Evidence cut-off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Access date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Local modifications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Intervention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Accountable owner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authority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Next review date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Required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Field or question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Guidance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Response / evidence / owner</w:t>
            </w:r>
          </w:p>
        </w:tc>
      </w:tr>
      <w:tr>
        <w:tc>
          <w:tcPr>
            <w:tcW w:type="dxa" w:w="2556"/>
            <w:vAlign w:val="top"/>
          </w:tcPr>
          <w:p>
            <w:r>
              <w:t>Option identity</w:t>
            </w:r>
          </w:p>
        </w:tc>
        <w:tc>
          <w:tcPr>
            <w:tcW w:type="dxa" w:w="2556"/>
            <w:vAlign w:val="top"/>
          </w:tcPr>
          <w:p>
            <w:r>
              <w:t>Maintain, repair, upgrade, refurbish, replace, share, or retire option</w:t>
            </w:r>
          </w:p>
        </w:tc>
        <w:tc>
          <w:tcPr>
            <w:tcW w:type="dxa" w:w="2556"/>
            <w:vAlign w:val="top"/>
          </w:tcPr>
          <w:p>
            <w:r>
              <w:t>Define the service function.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Eligibility before economics</w:t>
            </w:r>
          </w:p>
        </w:tc>
        <w:tc>
          <w:tcPr>
            <w:tcW w:type="dxa" w:w="2556"/>
            <w:vAlign w:val="top"/>
          </w:tcPr>
          <w:p>
            <w:r>
              <w:t>Safety, performance, cybersecurity, regulatory, support, and continuity status</w:t>
            </w:r>
          </w:p>
        </w:tc>
        <w:tc>
          <w:tcPr>
            <w:tcW w:type="dxa" w:w="2556"/>
            <w:vAlign w:val="top"/>
          </w:tcPr>
          <w:p>
            <w:r>
              <w:t>Exclude non-viable options before cost comparison.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Supported service life</w:t>
            </w:r>
          </w:p>
        </w:tc>
        <w:tc>
          <w:tcPr>
            <w:tcW w:type="dxa" w:w="2556"/>
            <w:vAlign w:val="top"/>
          </w:tcPr>
          <w:p>
            <w:r>
              <w:t>Years during which all required forms of support remain available</w:t>
            </w:r>
          </w:p>
        </w:tc>
        <w:tc>
          <w:tcPr>
            <w:tcW w:type="dxa" w:w="2556"/>
            <w:vAlign w:val="top"/>
          </w:tcPr>
          <w:p>
            <w:r>
              <w:t>Distinguish from physical longevity.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Condition and dependency</w:t>
            </w:r>
          </w:p>
        </w:tc>
        <w:tc>
          <w:tcPr>
            <w:tcW w:type="dxa" w:w="2556"/>
            <w:vAlign w:val="top"/>
          </w:tcPr>
          <w:p>
            <w:r>
              <w:t>Asset condition, critical components, software, firmware, model, interfaces, skills, parts, and supplier dependencies</w:t>
            </w:r>
          </w:p>
        </w:tc>
        <w:tc>
          <w:tcPr>
            <w:tcW w:type="dxa" w:w="2556"/>
            <w:vAlign w:val="top"/>
          </w:tcPr>
          <w:p>
            <w:r>
              <w:t>Identify bottlenecks.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Obsolescence</w:t>
            </w:r>
          </w:p>
        </w:tc>
        <w:tc>
          <w:tcPr>
            <w:tcW w:type="dxa" w:w="2556"/>
            <w:vAlign w:val="top"/>
          </w:tcPr>
          <w:p>
            <w:r>
              <w:t>Functional, technical, economic, cybersecurity, regulatory, and clinical suitability</w:t>
            </w:r>
          </w:p>
        </w:tc>
        <w:tc>
          <w:tcPr>
            <w:tcW w:type="dxa" w:w="2556"/>
            <w:vAlign w:val="top"/>
          </w:tcPr>
          <w:p>
            <w:r>
              <w:t>Record material forms.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Availability</w:t>
            </w:r>
          </w:p>
        </w:tc>
        <w:tc>
          <w:tcPr>
            <w:tcW w:type="dxa" w:w="2556"/>
            <w:vAlign w:val="top"/>
          </w:tcPr>
          <w:p>
            <w:r>
              <w:t>Expected downtime, service continuity, and fallback</w:t>
            </w:r>
          </w:p>
        </w:tc>
        <w:tc>
          <w:tcPr>
            <w:tcW w:type="dxa" w:w="2556"/>
            <w:vAlign w:val="top"/>
          </w:tcPr>
          <w:p>
            <w:r>
              <w:t>Include consequences of interruption.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Economic comparison</w:t>
            </w:r>
          </w:p>
        </w:tc>
        <w:tc>
          <w:tcPr>
            <w:tcW w:type="dxa" w:w="2556"/>
            <w:vAlign w:val="top"/>
          </w:tcPr>
          <w:p>
            <w:r>
              <w:t>Present value of costs, service life, equivalent annual cost, and uncertainty</w:t>
            </w:r>
          </w:p>
        </w:tc>
        <w:tc>
          <w:tcPr>
            <w:tcW w:type="dxa" w:w="2556"/>
            <w:vAlign w:val="top"/>
          </w:tcPr>
          <w:p>
            <w:r>
              <w:t>Use comparable functional output.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Residual value</w:t>
            </w:r>
          </w:p>
        </w:tc>
        <w:tc>
          <w:tcPr>
            <w:tcW w:type="dxa" w:w="2556"/>
            <w:vAlign w:val="top"/>
          </w:tcPr>
          <w:p>
            <w:r>
              <w:t>Realizable residual value net of recovery cost and restrictions</w:t>
            </w:r>
          </w:p>
        </w:tc>
        <w:tc>
          <w:tcPr>
            <w:tcW w:type="dxa" w:w="2556"/>
            <w:vAlign w:val="top"/>
          </w:tcPr>
          <w:p>
            <w:r>
              <w:t>Avoid nominal resale assumptions.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Thresholds</w:t>
            </w:r>
          </w:p>
        </w:tc>
        <w:tc>
          <w:tcPr>
            <w:tcW w:type="dxa" w:w="2556"/>
            <w:vAlign w:val="top"/>
          </w:tcPr>
          <w:p>
            <w:r>
              <w:t>Minimum life extension, maximum failure or downtime, and price thresholds</w:t>
            </w:r>
          </w:p>
        </w:tc>
        <w:tc>
          <w:tcPr>
            <w:tcW w:type="dxa" w:w="2556"/>
            <w:vAlign w:val="top"/>
          </w:tcPr>
          <w:p>
            <w:r>
              <w:t>Define decision boundaries.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  <w:tr>
        <w:tc>
          <w:tcPr>
            <w:tcW w:type="dxa" w:w="2556"/>
            <w:vAlign w:val="top"/>
          </w:tcPr>
          <w:p>
            <w:r>
              <w:t>Closure</w:t>
            </w:r>
          </w:p>
        </w:tc>
        <w:tc>
          <w:tcPr>
            <w:tcW w:type="dxa" w:w="2556"/>
            <w:vAlign w:val="top"/>
          </w:tcPr>
          <w:p>
            <w:r>
              <w:t>Authorization to retire, data closure, transfer, recovery, final destination, and evidence retained</w:t>
            </w:r>
          </w:p>
        </w:tc>
        <w:tc>
          <w:tcPr>
            <w:tcW w:type="dxa" w:w="2556"/>
            <w:vAlign w:val="top"/>
          </w:tcPr>
          <w:p>
            <w:r>
              <w:t>Complete the asset record.</w:t>
            </w:r>
          </w:p>
        </w:tc>
        <w:tc>
          <w:tcPr>
            <w:tcW w:type="dxa" w:w="2556"/>
            <w:vAlign w:val="top"/>
          </w:tcPr>
          <w:p>
            <w:r/>
          </w:p>
        </w:tc>
      </w:tr>
    </w:tbl>
    <w:p>
      <w:pPr>
        <w:pStyle w:val="Heading1"/>
      </w:pPr>
      <w:r>
        <w:t>Decision and follow-up</w:t>
      </w:r>
    </w:p>
    <w:p>
      <w:r>
        <w:rPr>
          <w:b/>
        </w:rPr>
        <w:t xml:space="preserve">Current conclusion or decision: </w:t>
      </w:r>
      <w:r/>
    </w:p>
    <w:p>
      <w:r>
        <w:rPr>
          <w:b/>
        </w:rPr>
        <w:t xml:space="preserve">Conditions and mandatory safeguards: </w:t>
      </w:r>
      <w:r/>
    </w:p>
    <w:p>
      <w:r>
        <w:rPr>
          <w:b/>
        </w:rPr>
        <w:t xml:space="preserve">Unresolved uncertainty: </w:t>
      </w:r>
      <w:r/>
    </w:p>
    <w:p>
      <w:r>
        <w:rPr>
          <w:b/>
        </w:rPr>
        <w:t xml:space="preserve">Dissenting views: </w:t>
      </w:r>
      <w:r/>
    </w:p>
    <w:p>
      <w:r>
        <w:rPr>
          <w:b/>
        </w:rPr>
        <w:t xml:space="preserve">Actions, owners, and due dates: </w:t>
      </w:r>
      <w:r/>
    </w:p>
    <w:p>
      <w:r>
        <w:rPr>
          <w:b/>
        </w:rPr>
        <w:t xml:space="preserve">Transition or stopping conditions: </w:t>
      </w:r>
      <w:r/>
    </w:p>
    <w:p>
      <w:r>
        <w:rPr>
          <w:b/>
        </w:rPr>
        <w:t xml:space="preserve">Next review and evidence required: </w:t>
      </w:r>
      <w:r/>
    </w:p>
    <w:p>
      <w:r>
        <w:t>Numerical examples and demonstration data in the companion are synthetic unless a documented source states otherwise. Replace them with authorized local evidence before institutional use.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AIHE-E03 - Supported Asset-Life Decision Record</dc:title>
  <dc:subject>Digital Resource Companion V1.0</dc:subject>
  <dc:creator>Muthana Zouri; Carmen Marinela Cumpăt</dc:creator>
  <cp:keywords/>
  <dc:description>generated by python-docx</dc:description>
  <cp:lastModifiedBy>Muthana Zouri; Carmen Marinela Cumpăt</cp:lastModifiedBy>
  <cp:revision>1</cp:revision>
  <dcterms:created xsi:type="dcterms:W3CDTF">2013-12-23T23:15:00Z</dcterms:created>
  <dcterms:modified xsi:type="dcterms:W3CDTF">2013-12-23T23:15:00Z</dcterms:modified>
  <cp:category/>
</cp:coreProperties>
</file>