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AIHE-CE3 — Circular Asset-Life Decision Workbook</w:t>
      </w:r>
    </w:p>
    <w:p>
      <w:r>
        <w:rPr>
          <w:b/>
        </w:rPr>
        <w:t xml:space="preserve">Current digital location: </w:t>
      </w:r>
      <w:r>
        <w:t>Resource Set E — Circular Economy and Sustainable Value</w:t>
      </w:r>
    </w:p>
    <w:p>
      <w:r>
        <w:rPr>
          <w:b/>
        </w:rPr>
        <w:t xml:space="preserve">Related book chapters: </w:t>
      </w:r>
      <w:r>
        <w:t>Chapter 6: Lifecycle Cost, Pricing, and Benefit Realization; Chapter 9: Problem-First Procurement and Vendor Governance; Chapter 13: Circular Health Systems and Resource Stewardship; Chapter 14: Circular Procurement and Asset Stewardship; Chapter 15: Circularity-Adjusted Economic Evaluation and Sustainable Value</w:t>
      </w:r>
    </w:p>
    <w:p>
      <w:r>
        <w:t>Version: 6.0.0 | aligned to the fifteen-chapter reference edition and Resource Sets A–E</w:t>
      </w:r>
    </w:p>
    <w:p>
      <w:r>
        <w:rPr>
          <w:b/>
        </w:rPr>
        <w:t xml:space="preserve">Purpose. </w:t>
      </w:r>
      <w:r>
        <w:t>Compare maintain, repair, upgrade, share, refurbish, remanufacture, replace, and service-model options using safety, cost, life, validation, resilience, and residual value.</w:t>
      </w:r>
    </w:p>
    <w:p>
      <w:r>
        <w:rPr>
          <w:b/>
        </w:rPr>
        <w:t xml:space="preserve">Use note. </w:t>
      </w:r>
      <w:r>
        <w:t>Use this as a versioned institutional record. Adapt it to local law, policy, clinical practice, health-technology-assessment, information security, procurement, environmental, and governance requirements. Do not enter identifiable patient data, confidential contracts, credentials, or private keys into public copies.</w:t>
      </w:r>
    </w:p>
    <w:p>
      <w:pPr>
        <w:pStyle w:val="Heading1"/>
      </w:pPr>
      <w:r>
        <w:t>Decision framing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0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Required clinical or operational function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Current asset/service and baseline performance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Population, setting, owner, and decision date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Mandatory safety, regulatory, infection, privacy, cybersecurity, and continuity constraints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Time horizon, perspective, discounting, and price year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Options retained and options excluded with reason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Option comparison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457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1457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Maintain</w:t>
            </w:r>
          </w:p>
        </w:tc>
        <w:tc>
          <w:tcPr>
            <w:tcW w:type="dxa" w:w="1457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Repair / upgrade</w:t>
            </w:r>
          </w:p>
        </w:tc>
        <w:tc>
          <w:tcPr>
            <w:tcW w:type="dxa" w:w="1457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Share / service model</w:t>
            </w:r>
          </w:p>
        </w:tc>
        <w:tc>
          <w:tcPr>
            <w:tcW w:type="dxa" w:w="1457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Refurbish / remanufacture</w:t>
            </w:r>
          </w:p>
        </w:tc>
        <w:tc>
          <w:tcPr>
            <w:tcW w:type="dxa" w:w="1457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Replace</w:t>
            </w:r>
          </w:p>
        </w:tc>
        <w:tc>
          <w:tcPr>
            <w:tcW w:type="dxa" w:w="1457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Evidence / threshold</w:t>
            </w:r>
          </w:p>
        </w:tc>
      </w:tr>
      <w:tr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Upfront and lifecycle cost</w:t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Remaining useful life</w:t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Clinical performance and validation</w:t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Reliability, downtime, and resilience</w:t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Energy, water, materials, and consumables</w:t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Software, security, interoperability, and support</w:t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Workforce, workflow, and training</w:t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Warranty, service, and parts availability</w:t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Residual value, take-back, and disposition</w:t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Equity and distributional effects</w:t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Uncertainty and rebound</w:t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Decision status</w:t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Recommendation and review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0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Preferred option and rationale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Conditions and mandatory safeguards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Decision-sensitive assumptions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Implementation, validation, and continuity plan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Residual-value and disposition plan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Owner, approval date, and next review trigger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F4E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AIHE-CE3 Circular Asset Life Decision Record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