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AIHE-E04 - Circularity-Adjusted Evaluation Record</w:t>
      </w:r>
    </w:p>
    <w:p>
      <w:r>
        <w:rPr>
          <w:b/>
        </w:rPr>
        <w:t>Chapter 15: Circularity-Adjusted Economic Evaluation and Sustainable Value</w:t>
      </w:r>
    </w:p>
    <w:p>
      <w:r>
        <w:t>Extend conventional economic evaluation with environmental, material, residual-value, resilience, equity, rebound, and burden evidence.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AIHE-E04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Decision scope</w:t>
            </w:r>
          </w:p>
        </w:tc>
        <w:tc>
          <w:tcPr>
            <w:tcW w:type="dxa" w:w="2556"/>
            <w:vAlign w:val="top"/>
          </w:tcPr>
          <w:p>
            <w:r>
              <w:t>Decision problem, perspective, comparators, population, and time horizon</w:t>
            </w:r>
          </w:p>
        </w:tc>
        <w:tc>
          <w:tcPr>
            <w:tcW w:type="dxa" w:w="2556"/>
            <w:vAlign w:val="top"/>
          </w:tcPr>
          <w:p>
            <w:r>
              <w:t>Define the institutional decision.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Functional equivalence</w:t>
            </w:r>
          </w:p>
        </w:tc>
        <w:tc>
          <w:tcPr>
            <w:tcW w:type="dxa" w:w="2556"/>
            <w:vAlign w:val="top"/>
          </w:tcPr>
          <w:p>
            <w:r>
              <w:t>Service function and common functional unit</w:t>
            </w:r>
          </w:p>
        </w:tc>
        <w:tc>
          <w:tcPr>
            <w:tcW w:type="dxa" w:w="2556"/>
            <w:vAlign w:val="top"/>
          </w:tcPr>
          <w:p>
            <w:r>
              <w:t>Compare alternatives delivering the same useful service.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Boundaries</w:t>
            </w:r>
          </w:p>
        </w:tc>
        <w:tc>
          <w:tcPr>
            <w:tcW w:type="dxa" w:w="2556"/>
            <w:vAlign w:val="top"/>
          </w:tcPr>
          <w:p>
            <w:r>
              <w:t>Economic and environmental system boundaries and differences</w:t>
            </w:r>
          </w:p>
        </w:tc>
        <w:tc>
          <w:tcPr>
            <w:tcW w:type="dxa" w:w="2556"/>
            <w:vAlign w:val="top"/>
          </w:tcPr>
          <w:p>
            <w:r>
              <w:t>Reconcile before analysis.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Resource consequences</w:t>
            </w:r>
          </w:p>
        </w:tc>
        <w:tc>
          <w:tcPr>
            <w:tcW w:type="dxa" w:w="2556"/>
            <w:vAlign w:val="top"/>
          </w:tcPr>
          <w:p>
            <w:r>
              <w:t>Physical effects by lifecycle stage and evidence source</w:t>
            </w:r>
          </w:p>
        </w:tc>
        <w:tc>
          <w:tcPr>
            <w:tcW w:type="dxa" w:w="2556"/>
            <w:vAlign w:val="top"/>
          </w:tcPr>
          <w:p>
            <w:r>
              <w:t>Preserve provenance.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Average and marginal</w:t>
            </w:r>
          </w:p>
        </w:tc>
        <w:tc>
          <w:tcPr>
            <w:tcW w:type="dxa" w:w="2556"/>
            <w:vAlign w:val="top"/>
          </w:tcPr>
          <w:p>
            <w:r>
              <w:t>Average footprint and marginal consequence of the decision</w:t>
            </w:r>
          </w:p>
        </w:tc>
        <w:tc>
          <w:tcPr>
            <w:tcW w:type="dxa" w:w="2556"/>
            <w:vAlign w:val="top"/>
          </w:tcPr>
          <w:p>
            <w:r>
              <w:t>Do not substitute one for the other.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Monetisation</w:t>
            </w:r>
          </w:p>
        </w:tc>
        <w:tc>
          <w:tcPr>
            <w:tcW w:type="dxa" w:w="2556"/>
            <w:vAlign w:val="top"/>
          </w:tcPr>
          <w:p>
            <w:r>
              <w:t>Effect, physical unit, valuation method, monetised amount, and reason if not monetised</w:t>
            </w:r>
          </w:p>
        </w:tc>
        <w:tc>
          <w:tcPr>
            <w:tcW w:type="dxa" w:w="2556"/>
            <w:vAlign w:val="top"/>
          </w:tcPr>
          <w:p>
            <w:r>
              <w:t>Keep non-monetised consequences visible.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Residual value</w:t>
            </w:r>
          </w:p>
        </w:tc>
        <w:tc>
          <w:tcPr>
            <w:tcW w:type="dxa" w:w="2556"/>
            <w:vAlign w:val="top"/>
          </w:tcPr>
          <w:p>
            <w:r>
              <w:t>Realizable economic and material residual value</w:t>
            </w:r>
          </w:p>
        </w:tc>
        <w:tc>
          <w:tcPr>
            <w:tcW w:type="dxa" w:w="2556"/>
            <w:vAlign w:val="top"/>
          </w:tcPr>
          <w:p>
            <w:r>
              <w:t>Avoid double counting with avoided cost.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Resilience</w:t>
            </w:r>
          </w:p>
        </w:tc>
        <w:tc>
          <w:tcPr>
            <w:tcW w:type="dxa" w:w="2556"/>
            <w:vAlign w:val="top"/>
          </w:tcPr>
          <w:p>
            <w:r>
              <w:t>Continuity, recovery, redundancy, and supply-chain consequences</w:t>
            </w:r>
          </w:p>
        </w:tc>
        <w:tc>
          <w:tcPr>
            <w:tcW w:type="dxa" w:w="2556"/>
            <w:vAlign w:val="top"/>
          </w:tcPr>
          <w:p>
            <w:r>
              <w:t>Treat as a consequence where decision-relevant.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Double counting</w:t>
            </w:r>
          </w:p>
        </w:tc>
        <w:tc>
          <w:tcPr>
            <w:tcW w:type="dxa" w:w="2556"/>
            <w:vAlign w:val="top"/>
          </w:tcPr>
          <w:p>
            <w:r>
              <w:t>Potential overlap, rule applied, and final treatment</w:t>
            </w:r>
          </w:p>
        </w:tc>
        <w:tc>
          <w:tcPr>
            <w:tcW w:type="dxa" w:w="2556"/>
            <w:vAlign w:val="top"/>
          </w:tcPr>
          <w:p>
            <w:r>
              <w:t>Apply explicit accounting rules.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Rebound and burden transfer</w:t>
            </w:r>
          </w:p>
        </w:tc>
        <w:tc>
          <w:tcPr>
            <w:tcW w:type="dxa" w:w="2556"/>
            <w:vAlign w:val="top"/>
          </w:tcPr>
          <w:p>
            <w:r>
              <w:t>Induced demand, spatial transfer, intertemporal transfer, and affected groups</w:t>
            </w:r>
          </w:p>
        </w:tc>
        <w:tc>
          <w:tcPr>
            <w:tcW w:type="dxa" w:w="2556"/>
            <w:vAlign w:val="top"/>
          </w:tcPr>
          <w:p>
            <w:r>
              <w:t>Report distribution.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Uncertainty</w:t>
            </w:r>
          </w:p>
        </w:tc>
        <w:tc>
          <w:tcPr>
            <w:tcW w:type="dxa" w:w="2556"/>
            <w:vAlign w:val="top"/>
          </w:tcPr>
          <w:p>
            <w:r>
              <w:t>Scenario, parameter, structural, and valuation uncertainty</w:t>
            </w:r>
          </w:p>
        </w:tc>
        <w:tc>
          <w:tcPr>
            <w:tcW w:type="dxa" w:w="2556"/>
            <w:vAlign w:val="top"/>
          </w:tcPr>
          <w:p>
            <w:r>
              <w:t>Test preference reversal.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Decision</w:t>
            </w:r>
          </w:p>
        </w:tc>
        <w:tc>
          <w:tcPr>
            <w:tcW w:type="dxa" w:w="2556"/>
            <w:vAlign w:val="top"/>
          </w:tcPr>
          <w:p>
            <w:r>
              <w:t>Disaggregated results, safeguards, preferred option, and rationale</w:t>
            </w:r>
          </w:p>
        </w:tc>
        <w:tc>
          <w:tcPr>
            <w:tcW w:type="dxa" w:w="2556"/>
            <w:vAlign w:val="top"/>
          </w:tcPr>
          <w:p>
            <w:r>
              <w:t>Do not force complete monetisation.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AIHE-E04 - Circularity-Adjusted Evaluation Record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