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AIHE-E05 - Environmental, Circularity, and Disposition Dashboard</w:t>
      </w:r>
    </w:p>
    <w:p>
      <w:r>
        <w:rPr>
          <w:b/>
        </w:rPr>
        <w:t>Chapter 15: Circularity-Adjusted Economic Evaluation and Sustainable Value</w:t>
      </w:r>
    </w:p>
    <w:p>
      <w:r>
        <w:t>Monitor acquisition, utilization, asset life, resource intensity, materials, take-back, recovery, rebound, resilience, and disposition.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AIHE-E05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Indicator</w:t>
            </w:r>
          </w:p>
        </w:tc>
        <w:tc>
          <w:tcPr>
            <w:tcW w:type="dxa" w:w="2556"/>
            <w:vAlign w:val="top"/>
          </w:tcPr>
          <w:p>
            <w:r>
              <w:t>Indicator name, definition, functional unit, and purpose</w:t>
            </w:r>
          </w:p>
        </w:tc>
        <w:tc>
          <w:tcPr>
            <w:tcW w:type="dxa" w:w="2556"/>
            <w:vAlign w:val="top"/>
          </w:tcPr>
          <w:p>
            <w:r>
              <w:t>Use a decision-relevant denominator.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Measurement</w:t>
            </w:r>
          </w:p>
        </w:tc>
        <w:tc>
          <w:tcPr>
            <w:tcW w:type="dxa" w:w="2556"/>
            <w:vAlign w:val="top"/>
          </w:tcPr>
          <w:p>
            <w:r>
              <w:t>Baseline, current value, target, period, and data source</w:t>
            </w:r>
          </w:p>
        </w:tc>
        <w:tc>
          <w:tcPr>
            <w:tcW w:type="dxa" w:w="2556"/>
            <w:vAlign w:val="top"/>
          </w:tcPr>
          <w:p>
            <w:r>
              <w:t>Preserve evidence provenance.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Interpretation</w:t>
            </w:r>
          </w:p>
        </w:tc>
        <w:tc>
          <w:tcPr>
            <w:tcW w:type="dxa" w:w="2556"/>
            <w:vAlign w:val="top"/>
          </w:tcPr>
          <w:p>
            <w:r>
              <w:t>Average or marginal measure, uncertainty, and limitations</w:t>
            </w:r>
          </w:p>
        </w:tc>
        <w:tc>
          <w:tcPr>
            <w:tcW w:type="dxa" w:w="2556"/>
            <w:vAlign w:val="top"/>
          </w:tcPr>
          <w:p>
            <w:r>
              <w:t>Avoid false precision.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Value-retention</w:t>
            </w:r>
          </w:p>
        </w:tc>
        <w:tc>
          <w:tcPr>
            <w:tcW w:type="dxa" w:w="2556"/>
            <w:vAlign w:val="top"/>
          </w:tcPr>
          <w:p>
            <w:r>
              <w:t>Stock, flow, inner/outer loop, leakage, and disposition</w:t>
            </w:r>
          </w:p>
        </w:tc>
        <w:tc>
          <w:tcPr>
            <w:tcW w:type="dxa" w:w="2556"/>
            <w:vAlign w:val="top"/>
          </w:tcPr>
          <w:p>
            <w:r>
              <w:t>Track physical consequences.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Rebound</w:t>
            </w:r>
          </w:p>
        </w:tc>
        <w:tc>
          <w:tcPr>
            <w:tcW w:type="dxa" w:w="2556"/>
            <w:vAlign w:val="top"/>
          </w:tcPr>
          <w:p>
            <w:r>
              <w:t>Volume, utilization, induced demand, and total-resource effect</w:t>
            </w:r>
          </w:p>
        </w:tc>
        <w:tc>
          <w:tcPr>
            <w:tcW w:type="dxa" w:w="2556"/>
            <w:vAlign w:val="top"/>
          </w:tcPr>
          <w:p>
            <w:r>
              <w:t>Monitor total as well as per-unit performance.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Distribution</w:t>
            </w:r>
          </w:p>
        </w:tc>
        <w:tc>
          <w:tcPr>
            <w:tcW w:type="dxa" w:w="2556"/>
            <w:vAlign w:val="top"/>
          </w:tcPr>
          <w:p>
            <w:r>
              <w:t>Location, supplier, community, and time period bearing the consequence</w:t>
            </w:r>
          </w:p>
        </w:tc>
        <w:tc>
          <w:tcPr>
            <w:tcW w:type="dxa" w:w="2556"/>
            <w:vAlign w:val="top"/>
          </w:tcPr>
          <w:p>
            <w:r>
              <w:t>Reveal burden transfer.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Ownership</w:t>
            </w:r>
          </w:p>
        </w:tc>
        <w:tc>
          <w:tcPr>
            <w:tcW w:type="dxa" w:w="2556"/>
            <w:vAlign w:val="top"/>
          </w:tcPr>
          <w:p>
            <w:r>
              <w:t>Named owner, threshold, response, and next review</w:t>
            </w:r>
          </w:p>
        </w:tc>
        <w:tc>
          <w:tcPr>
            <w:tcW w:type="dxa" w:w="2556"/>
            <w:vAlign w:val="top"/>
          </w:tcPr>
          <w:p>
            <w:r>
              <w:t>Connect measurement to action.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AIHE-E05 - Environmental, Circularity, and Disposition Dashboard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