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re"/>
      </w:pPr>
      <w:r>
        <w:br/>
        <w:br/>
      </w:r>
      <w:r>
        <w:rPr>
          <w:b/>
          <w:color w:val="1F4E79"/>
          <w:sz w:val="54"/>
        </w:rPr>
        <w:t>AIHE-CE5: Circular Decommissioning and Asset Disposition Record</w:t>
      </w:r>
    </w:p>
    <w:p>
      <w:pPr>
        <w:jc w:val="centre"/>
      </w:pPr>
      <w:r>
        <w:rPr>
          <w:i/>
          <w:color w:val="2F75B5"/>
          <w:sz w:val="30"/>
        </w:rPr>
        <w:t>Document secure data erasure, reuse, refurbishment, take-back, recycling, residual value, chain of custody, and approval.</w:t>
      </w:r>
    </w:p>
    <w:p>
      <w:pPr>
        <w:jc w:val="centre"/>
      </w:pPr>
      <w:r>
        <w:rPr>
          <w:b/>
        </w:rPr>
        <w:br/>
        <w:t>Master consolidation edition - 2026</w:t>
        <w:br/>
      </w:r>
    </w:p>
    <w:p>
      <w:pPr>
        <w:jc w:val="centre"/>
      </w:pPr>
      <w:r>
        <w:t>Developmental educational and practitioner resource. Author-developed frameworks require independent validation before standardized institutional use.</w:t>
      </w:r>
    </w:p>
    <w:p>
      <w:r/>
    </w:p>
    <w:p>
      <w:pPr>
        <w:pStyle w:val="Heading1"/>
      </w:pPr>
      <w:r>
        <w:t>How to use this resource</w:t>
      </w:r>
    </w:p>
    <w:p>
      <w:r>
        <w:t>Complete this resource collaboratively with clinical, operational, technical, economic, procurement, privacy, cybersecurity, sustainability, and governance representatives. Record evidence sources and distinguish mandatory safeguards from weighted preferences.</w:t>
      </w:r>
    </w:p>
    <w:p>
      <w:pPr>
        <w:pStyle w:val="Heading1"/>
      </w:pPr>
      <w:r>
        <w:t>Scope and accountable owners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Scope and accountable owners: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Service continuity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Service continuity: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Data export, archive, and erasure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Data export, archive, and erasure: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Asset reuse, refurbishment, take-back, recycling, and disposal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Asset reuse, refurbishment, take-back, recycling, and disposal: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Chain of custody and residual value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Chain of custody and residual value: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Final approval and lessons learned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752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 / field</w:t>
            </w:r>
          </w:p>
        </w:tc>
        <w:tc>
          <w:tcPr>
            <w:tcW w:type="dxa" w:w="7920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Response / evidence</w:t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Final approval and lessons learned: key finding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Evidence source and version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Accountable owner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Decision, action, or condition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752"/>
            <w:vAlign w:val="centre"/>
          </w:tcPr>
          <w:p>
            <w:r/>
            <w:r>
              <w:rPr>
                <w:b w:val="0"/>
                <w:sz w:val="18"/>
              </w:rPr>
              <w:t>Review date / trigger</w:t>
            </w:r>
          </w:p>
        </w:tc>
        <w:tc>
          <w:tcPr>
            <w:tcW w:type="dxa" w:w="7920"/>
            <w:vAlign w:val="centre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Resource-control block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456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9216"/>
            <w:vAlign w:val="centre"/>
            <w:shd w:fill="1F4E79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Resource ID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AIHE-CE5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Version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V1.0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Developmental educational and practitioner resource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Related book chapter</w:t>
            </w:r>
          </w:p>
        </w:tc>
        <w:tc>
          <w:tcPr>
            <w:tcW w:type="dxa" w:w="9216"/>
            <w:vAlign w:val="centre"/>
          </w:tcPr>
          <w:p>
            <w:r>
              <w:t>Circular Health Systems and Resource Stewardship</w:t>
            </w: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License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CC BY-NC 4.0, subject to final author and publisher approval</w:t>
            </w:r>
          </w:p>
        </w:tc>
      </w:tr>
      <w:tr>
        <w:tc>
          <w:tcPr>
            <w:tcW w:type="dxa" w:w="3456"/>
            <w:vAlign w:val="centre"/>
          </w:tcPr>
          <w:p>
            <w:r/>
            <w:r>
              <w:rPr>
                <w:b w:val="0"/>
                <w:sz w:val="18"/>
              </w:rPr>
              <w:t>Disclaimer</w:t>
            </w:r>
          </w:p>
        </w:tc>
        <w:tc>
          <w:tcPr>
            <w:tcW w:type="dxa" w:w="9216"/>
            <w:vAlign w:val="centre"/>
          </w:tcPr>
          <w:p>
            <w:r/>
            <w:r>
              <w:rPr>
                <w:b w:val="0"/>
                <w:sz w:val="18"/>
              </w:rPr>
              <w:t>Not a validated clinical, regulatory, legal, environmental-accounting, or procurement instrument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37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AIHE-CE5 Circular Decommissioning and Asset Disposition Record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