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300"/>
      </w:pPr>
      <w:r>
        <w:t>Artificial Intelligence</w:t>
      </w:r>
    </w:p>
    <w:p>
      <w:pPr>
        <w:pStyle w:val="Title"/>
        <w:spacing w:before="0"/>
      </w:pPr>
      <w:r>
        <w:t>in Healthcare Management and Economics</w:t>
      </w:r>
    </w:p>
    <w:p>
      <w:pPr>
        <w:pStyle w:val="Subtitle"/>
      </w:pPr>
      <w:r>
        <w:t>Evidence, Value, Governance, and Lifecycle Decision-Making</w:t>
      </w:r>
    </w:p>
    <w:p>
      <w:pPr>
        <w:pStyle w:val="Heading1"/>
        <w:spacing w:before="560"/>
      </w:pPr>
      <w:r>
        <w:t>START HERE</w:t>
      </w:r>
    </w:p>
    <w:p>
      <w:pPr>
        <w:pStyle w:val="Subtitle"/>
      </w:pPr>
      <w:r>
        <w:t>Digital Resource Companion</w:t>
      </w:r>
    </w:p>
    <w:p>
      <w:r>
        <w:t>Muthana Zouri</w:t>
        <w:br/>
        <w:t>Carmen Marinela Cumpăt</w:t>
      </w:r>
    </w:p>
    <w:p>
      <w:r>
        <w:rPr>
          <w:sz w:val="18"/>
        </w:rPr>
        <w:t>Developed and maintained by the authors</w:t>
      </w:r>
    </w:p>
    <w:p>
      <w:r>
        <w:t>V1.0 · 16 September 2026</w:t>
      </w:r>
    </w:p>
    <w:p>
      <w:pPr>
        <w:pStyle w:val="Heading1"/>
        <w:pageBreakBefore/>
      </w:pPr>
      <w:r>
        <w:t>Purpose of the companion</w:t>
      </w:r>
    </w:p>
    <w:p>
      <w:r>
        <w:t>The Digital Resource Companion is the applied extension of Artificial Intelligence in Healthcare Management and Economics: Evidence, Value, Governance, and Lifecycle Decision-Making. The book contains the durable conceptual, economic, methodological, and governance argument. The companion provides editable institutional records, structured workbooks, worked examples, decision pathways, reference guides, process maps, and reproducible analytical resources that support application and local adaptation.</w:t>
      </w:r>
    </w:p>
    <w:p>
      <w:r>
        <w:t>The companion does not replace the reasoning developed in the book. It provides a structured way to apply that reasoning to a clearly specified jurisdiction, organization, population, workflow, intervention, comparator, technology version, evidence base, and accountable decision process.</w:t>
      </w:r>
    </w:p>
    <w:p>
      <w:pPr>
        <w:pStyle w:val="Heading1"/>
      </w:pPr>
      <w:r>
        <w:t>Choose the appropriate entry point</w:t>
      </w:r>
    </w:p>
    <w:tbl>
      <w:tblPr>
        <w:tblW w:type="auto" w:w="0"/>
        <w:tblLayout w:type="fixed"/>
        <w:tblLook w:firstColumn="1" w:firstRow="1" w:lastColumn="0" w:lastRow="0" w:noHBand="0" w:noVBand="1" w:val="04A0"/>
        <w:tblBorders>
          <w:top w:val="single" w:sz="4" w:color="D9D0C2"/>
          <w:left w:val="single" w:sz="4" w:color="D9D0C2"/>
          <w:bottom w:val="single" w:sz="4" w:color="D9D0C2"/>
          <w:right w:val="single" w:sz="4" w:color="D9D0C2"/>
          <w:insideH w:val="single" w:sz="4" w:color="D9D0C2"/>
          <w:insideV w:val="single" w:sz="4" w:color="D9D0C2"/>
        </w:tblBorders>
        <w:tblCellMar>
          <w:top w:w="80" w:type="dxa"/>
          <w:left w:w="80" w:type="dxa"/>
          <w:bottom w:w="80" w:type="dxa"/>
          <w:right w:w="80" w:type="dxa"/>
        </w:tblCellMar>
      </w:tblPr>
      <w:tblGrid>
        <w:gridCol w:w="2356"/>
        <w:gridCol w:w="4713"/>
        <w:gridCol w:w="3299"/>
      </w:tblGrid>
      <w:tr>
        <w:trPr>
          <w:tblHeader/>
          <w:cantSplit/>
        </w:trPr>
        <w:tc>
          <w:tcPr>
            <w:tcW w:type="dxa" w:w="2356"/>
            <w:shd w:fill="6B2230" w:val="clear"/>
          </w:tcPr>
          <w:p>
            <w:pPr>
              <w:spacing w:after="60" w:before="60"/>
            </w:pPr>
            <w:r>
              <w:rPr>
                <w:rFonts w:ascii="Aptos" w:hAnsi="Aptos"/>
                <w:b/>
                <w:color w:val="FFFFFF"/>
                <w:sz w:val="18"/>
              </w:rPr>
              <w:t>Entry point</w:t>
            </w:r>
          </w:p>
        </w:tc>
        <w:tc>
          <w:tcPr>
            <w:tcW w:type="dxa" w:w="4713"/>
            <w:shd w:fill="6B2230" w:val="clear"/>
          </w:tcPr>
          <w:p>
            <w:pPr>
              <w:spacing w:after="60" w:before="60"/>
            </w:pPr>
            <w:r>
              <w:rPr>
                <w:rFonts w:ascii="Aptos" w:hAnsi="Aptos"/>
                <w:b/>
                <w:color w:val="FFFFFF"/>
                <w:sz w:val="18"/>
              </w:rPr>
              <w:t>Best suited to</w:t>
            </w:r>
          </w:p>
        </w:tc>
        <w:tc>
          <w:tcPr>
            <w:tcW w:type="dxa" w:w="3299"/>
            <w:shd w:fill="6B2230" w:val="clear"/>
          </w:tcPr>
          <w:p>
            <w:pPr>
              <w:spacing w:after="60" w:before="60"/>
            </w:pPr>
            <w:r>
              <w:rPr>
                <w:rFonts w:ascii="Aptos" w:hAnsi="Aptos"/>
                <w:b/>
                <w:color w:val="FFFFFF"/>
                <w:sz w:val="18"/>
              </w:rPr>
              <w:t>What it provides</w:t>
            </w:r>
          </w:p>
        </w:tc>
      </w:tr>
      <w:tr>
        <w:trPr>
          <w:cantSplit/>
        </w:trPr>
        <w:tc>
          <w:tcPr>
            <w:tcW w:type="dxa" w:w="2356"/>
            <w:shd w:fill="F5F0E7" w:val="clear"/>
          </w:tcPr>
          <w:p>
            <w:pPr>
              <w:spacing w:after="60" w:before="60" w:line="252" w:lineRule="auto"/>
            </w:pPr>
            <w:r>
              <w:rPr>
                <w:rFonts w:ascii="Aptos" w:hAnsi="Aptos"/>
                <w:color w:val="303236"/>
                <w:sz w:val="18"/>
              </w:rPr>
              <w:t>GitHub Pages Web Companion</w:t>
            </w:r>
          </w:p>
        </w:tc>
        <w:tc>
          <w:tcPr>
            <w:tcW w:type="dxa" w:w="4713"/>
            <w:shd w:fill="F5F0E7" w:val="clear"/>
          </w:tcPr>
          <w:p>
            <w:pPr>
              <w:spacing w:after="60" w:before="60" w:line="252" w:lineRule="auto"/>
            </w:pPr>
            <w:r>
              <w:rPr>
                <w:rFonts w:ascii="Aptos" w:hAnsi="Aptos"/>
                <w:color w:val="303236"/>
                <w:sz w:val="18"/>
              </w:rPr>
              <w:t>Most users beginning online</w:t>
            </w:r>
          </w:p>
        </w:tc>
        <w:tc>
          <w:tcPr>
            <w:tcW w:type="dxa" w:w="3299"/>
            <w:shd w:fill="F5F0E7" w:val="clear"/>
          </w:tcPr>
          <w:p>
            <w:pPr>
              <w:spacing w:after="60" w:before="60" w:line="252" w:lineRule="auto"/>
            </w:pPr>
            <w:r>
              <w:rPr>
                <w:rFonts w:ascii="Aptos" w:hAnsi="Aptos"/>
                <w:color w:val="303236"/>
                <w:sz w:val="18"/>
              </w:rPr>
              <w:t>Guided navigation by chapter, decision stage, form, workbook, worked example, or analytical method.</w:t>
            </w:r>
          </w:p>
        </w:tc>
      </w:tr>
      <w:tr>
        <w:trPr>
          <w:cantSplit/>
        </w:trPr>
        <w:tc>
          <w:tcPr>
            <w:tcW w:type="dxa" w:w="2356"/>
          </w:tcPr>
          <w:p>
            <w:pPr>
              <w:spacing w:after="60" w:before="60" w:line="252" w:lineRule="auto"/>
            </w:pPr>
            <w:r>
              <w:rPr>
                <w:rFonts w:ascii="Aptos" w:hAnsi="Aptos"/>
                <w:color w:val="303236"/>
                <w:sz w:val="18"/>
              </w:rPr>
              <w:t>Reader and Practitioner Edition</w:t>
            </w:r>
          </w:p>
        </w:tc>
        <w:tc>
          <w:tcPr>
            <w:tcW w:type="dxa" w:w="4713"/>
          </w:tcPr>
          <w:p>
            <w:pPr>
              <w:spacing w:after="60" w:before="60" w:line="252" w:lineRule="auto"/>
            </w:pPr>
            <w:r>
              <w:rPr>
                <w:rFonts w:ascii="Aptos" w:hAnsi="Aptos"/>
                <w:color w:val="303236"/>
                <w:sz w:val="18"/>
              </w:rPr>
              <w:t>Readers, practitioners, managers, analysts, educators, and institutional teams</w:t>
            </w:r>
          </w:p>
        </w:tc>
        <w:tc>
          <w:tcPr>
            <w:tcW w:type="dxa" w:w="3299"/>
          </w:tcPr>
          <w:p>
            <w:pPr>
              <w:spacing w:after="60" w:before="60" w:line="252" w:lineRule="auto"/>
            </w:pPr>
            <w:r>
              <w:rPr>
                <w:rFonts w:ascii="Aptos" w:hAnsi="Aptos"/>
                <w:color w:val="303236"/>
                <w:sz w:val="18"/>
              </w:rPr>
              <w:t>A complete, accessible offline collection with the Web Companion, forms, workbooks, cases, guides, selected analytics, catalogues, and printable companion.</w:t>
            </w:r>
          </w:p>
        </w:tc>
      </w:tr>
      <w:tr>
        <w:trPr>
          <w:cantSplit/>
        </w:trPr>
        <w:tc>
          <w:tcPr>
            <w:tcW w:type="dxa" w:w="2356"/>
            <w:shd w:fill="F5F0E7" w:val="clear"/>
          </w:tcPr>
          <w:p>
            <w:pPr>
              <w:spacing w:after="60" w:before="60" w:line="252" w:lineRule="auto"/>
            </w:pPr>
            <w:r>
              <w:rPr>
                <w:rFonts w:ascii="Aptos" w:hAnsi="Aptos"/>
                <w:color w:val="303236"/>
                <w:sz w:val="18"/>
              </w:rPr>
              <w:t>Core Tools Pack</w:t>
            </w:r>
          </w:p>
        </w:tc>
        <w:tc>
          <w:tcPr>
            <w:tcW w:type="dxa" w:w="4713"/>
            <w:shd w:fill="F5F0E7" w:val="clear"/>
          </w:tcPr>
          <w:p>
            <w:pPr>
              <w:spacing w:after="60" w:before="60" w:line="252" w:lineRule="auto"/>
            </w:pPr>
            <w:r>
              <w:rPr>
                <w:rFonts w:ascii="Aptos" w:hAnsi="Aptos"/>
                <w:color w:val="303236"/>
                <w:sz w:val="18"/>
              </w:rPr>
              <w:t>Teams that primarily need the principal institutional documents</w:t>
            </w:r>
          </w:p>
        </w:tc>
        <w:tc>
          <w:tcPr>
            <w:tcW w:type="dxa" w:w="3299"/>
            <w:shd w:fill="F5F0E7" w:val="clear"/>
          </w:tcPr>
          <w:p>
            <w:pPr>
              <w:spacing w:after="60" w:before="60" w:line="252" w:lineRule="auto"/>
            </w:pPr>
            <w:r>
              <w:rPr>
                <w:rFonts w:ascii="Aptos" w:hAnsi="Aptos"/>
                <w:color w:val="303236"/>
                <w:sz w:val="18"/>
              </w:rPr>
              <w:t>The consolidated Core Resource Forms, consolidated Core Resource Workbook, practical guidance, licence, disclaimer, and package manifest.</w:t>
            </w:r>
          </w:p>
        </w:tc>
      </w:tr>
      <w:tr>
        <w:trPr>
          <w:cantSplit/>
        </w:trPr>
        <w:tc>
          <w:tcPr>
            <w:tcW w:type="dxa" w:w="2356"/>
          </w:tcPr>
          <w:p>
            <w:pPr>
              <w:spacing w:after="60" w:before="60" w:line="252" w:lineRule="auto"/>
            </w:pPr>
            <w:r>
              <w:rPr>
                <w:rFonts w:ascii="Aptos" w:hAnsi="Aptos"/>
                <w:color w:val="303236"/>
                <w:sz w:val="18"/>
              </w:rPr>
              <w:t>Canonical Source</w:t>
            </w:r>
          </w:p>
        </w:tc>
        <w:tc>
          <w:tcPr>
            <w:tcW w:type="dxa" w:w="4713"/>
          </w:tcPr>
          <w:p>
            <w:pPr>
              <w:spacing w:after="60" w:before="60" w:line="252" w:lineRule="auto"/>
            </w:pPr>
            <w:r>
              <w:rPr>
                <w:rFonts w:ascii="Aptos" w:hAnsi="Aptos"/>
                <w:color w:val="303236"/>
                <w:sz w:val="18"/>
              </w:rPr>
              <w:t>Researchers, developers, repository maintainers, advanced analysts, educators, and institutions</w:t>
            </w:r>
          </w:p>
        </w:tc>
        <w:tc>
          <w:tcPr>
            <w:tcW w:type="dxa" w:w="3299"/>
          </w:tcPr>
          <w:p>
            <w:pPr>
              <w:spacing w:after="60" w:before="60" w:line="252" w:lineRule="auto"/>
            </w:pPr>
            <w:r>
              <w:rPr>
                <w:rFonts w:ascii="Aptos" w:hAnsi="Aptos"/>
                <w:color w:val="303236"/>
                <w:sz w:val="18"/>
              </w:rPr>
              <w:t>The complete authoritative source collection, including editable, computational, machine-readable, process, publication, and website materials.</w:t>
            </w:r>
          </w:p>
        </w:tc>
      </w:tr>
      <w:tr>
        <w:trPr>
          <w:cantSplit/>
        </w:trPr>
        <w:tc>
          <w:tcPr>
            <w:tcW w:type="dxa" w:w="2356"/>
            <w:shd w:fill="F5F0E7" w:val="clear"/>
          </w:tcPr>
          <w:p>
            <w:pPr>
              <w:spacing w:after="60" w:before="60" w:line="252" w:lineRule="auto"/>
            </w:pPr>
            <w:r>
              <w:rPr>
                <w:rFonts w:ascii="Aptos" w:hAnsi="Aptos"/>
                <w:color w:val="303236"/>
                <w:sz w:val="18"/>
              </w:rPr>
              <w:t>Printable Digital Resource Companion</w:t>
            </w:r>
          </w:p>
        </w:tc>
        <w:tc>
          <w:tcPr>
            <w:tcW w:type="dxa" w:w="4713"/>
            <w:shd w:fill="F5F0E7" w:val="clear"/>
          </w:tcPr>
          <w:p>
            <w:pPr>
              <w:spacing w:after="60" w:before="60" w:line="252" w:lineRule="auto"/>
            </w:pPr>
            <w:r>
              <w:rPr>
                <w:rFonts w:ascii="Aptos" w:hAnsi="Aptos"/>
                <w:color w:val="303236"/>
                <w:sz w:val="18"/>
              </w:rPr>
              <w:t>Readers who prefer a coherent readable reference</w:t>
            </w:r>
          </w:p>
        </w:tc>
        <w:tc>
          <w:tcPr>
            <w:tcW w:type="dxa" w:w="3299"/>
            <w:shd w:fill="F5F0E7" w:val="clear"/>
          </w:tcPr>
          <w:p>
            <w:pPr>
              <w:spacing w:after="60" w:before="60" w:line="252" w:lineRule="auto"/>
            </w:pPr>
            <w:r>
              <w:rPr>
                <w:rFonts w:ascii="Aptos" w:hAnsi="Aptos"/>
                <w:color w:val="303236"/>
                <w:sz w:val="18"/>
              </w:rPr>
              <w:t>A book-like PDF and Word volume explaining the companion architecture, resources, cases, methods, and recommended use.</w:t>
            </w:r>
          </w:p>
        </w:tc>
      </w:tr>
    </w:tbl>
    <w:p>
      <w:r>
        <w:t>Most readers should begin with the Web Companion or the Reader and Practitioner Edition. The Core Tools Pack is a convenience subset for focused work, not a separate edition. The Canonical Source supports maintenance, reproduction, technical extension, and preparation of future releases.</w:t>
      </w:r>
    </w:p>
    <w:p>
      <w:pPr>
        <w:pStyle w:val="Heading1"/>
        <w:pageBreakBefore/>
      </w:pPr>
      <w:r>
        <w:t>Resource scope</w:t>
      </w:r>
    </w:p>
    <w:tbl>
      <w:tblPr>
        <w:tblW w:type="auto" w:w="0"/>
        <w:tblLayout w:type="fixed"/>
        <w:tblLook w:firstColumn="1" w:firstRow="1" w:lastColumn="0" w:lastRow="0" w:noHBand="0" w:noVBand="1" w:val="04A0"/>
        <w:tblBorders>
          <w:top w:val="single" w:sz="4" w:color="D9D0C2"/>
          <w:left w:val="single" w:sz="4" w:color="D9D0C2"/>
          <w:bottom w:val="single" w:sz="4" w:color="D9D0C2"/>
          <w:right w:val="single" w:sz="4" w:color="D9D0C2"/>
          <w:insideH w:val="single" w:sz="4" w:color="D9D0C2"/>
          <w:insideV w:val="single" w:sz="4" w:color="D9D0C2"/>
        </w:tblBorders>
        <w:tblCellMar>
          <w:top w:w="80" w:type="dxa"/>
          <w:left w:w="80" w:type="dxa"/>
          <w:bottom w:w="80" w:type="dxa"/>
          <w:right w:w="80" w:type="dxa"/>
        </w:tblCellMar>
      </w:tblPr>
      <w:tblGrid>
        <w:gridCol w:w="5184"/>
        <w:gridCol w:w="5184"/>
      </w:tblGrid>
      <w:tr>
        <w:trPr>
          <w:tblHeader/>
          <w:cantSplit/>
        </w:trPr>
        <w:tc>
          <w:tcPr>
            <w:tcW w:type="dxa" w:w="5184"/>
            <w:shd w:fill="6B2230" w:val="clear"/>
          </w:tcPr>
          <w:p>
            <w:pPr>
              <w:spacing w:after="60" w:before="60"/>
            </w:pPr>
            <w:r>
              <w:rPr>
                <w:rFonts w:ascii="Aptos" w:hAnsi="Aptos"/>
                <w:b/>
                <w:color w:val="FFFFFF"/>
                <w:sz w:val="20"/>
              </w:rPr>
              <w:t>Resource class</w:t>
            </w:r>
          </w:p>
        </w:tc>
        <w:tc>
          <w:tcPr>
            <w:tcW w:type="dxa" w:w="5184"/>
            <w:shd w:fill="6B2230" w:val="clear"/>
          </w:tcPr>
          <w:p>
            <w:pPr>
              <w:spacing w:after="60" w:before="60"/>
            </w:pPr>
            <w:r>
              <w:rPr>
                <w:rFonts w:ascii="Aptos" w:hAnsi="Aptos"/>
                <w:b/>
                <w:color w:val="FFFFFF"/>
                <w:sz w:val="20"/>
              </w:rPr>
              <w:t>V1.0 scope</w:t>
            </w:r>
          </w:p>
        </w:tc>
      </w:tr>
      <w:tr>
        <w:trPr>
          <w:cantSplit/>
        </w:trPr>
        <w:tc>
          <w:tcPr>
            <w:tcW w:type="dxa" w:w="5184"/>
            <w:shd w:fill="F5F0E7" w:val="clear"/>
          </w:tcPr>
          <w:p>
            <w:pPr>
              <w:spacing w:after="60" w:before="60" w:line="252" w:lineRule="auto"/>
            </w:pPr>
            <w:r>
              <w:rPr>
                <w:rFonts w:ascii="Aptos" w:hAnsi="Aptos"/>
                <w:color w:val="303236"/>
                <w:sz w:val="20"/>
              </w:rPr>
              <w:t>Book structure</w:t>
            </w:r>
          </w:p>
        </w:tc>
        <w:tc>
          <w:tcPr>
            <w:tcW w:type="dxa" w:w="5184"/>
            <w:shd w:fill="F5F0E7" w:val="clear"/>
          </w:tcPr>
          <w:p>
            <w:pPr>
              <w:spacing w:after="60" w:before="60" w:line="252" w:lineRule="auto"/>
            </w:pPr>
            <w:r>
              <w:rPr>
                <w:rFonts w:ascii="Aptos" w:hAnsi="Aptos"/>
                <w:color w:val="303236"/>
                <w:sz w:val="20"/>
              </w:rPr>
              <w:t>4 parts and 12 chapters</w:t>
            </w:r>
          </w:p>
        </w:tc>
      </w:tr>
      <w:tr>
        <w:trPr>
          <w:cantSplit/>
        </w:trPr>
        <w:tc>
          <w:tcPr>
            <w:tcW w:type="dxa" w:w="5184"/>
          </w:tcPr>
          <w:p>
            <w:pPr>
              <w:spacing w:after="60" w:before="60" w:line="252" w:lineRule="auto"/>
            </w:pPr>
            <w:r>
              <w:rPr>
                <w:rFonts w:ascii="Aptos" w:hAnsi="Aptos"/>
                <w:color w:val="303236"/>
                <w:sz w:val="20"/>
              </w:rPr>
              <w:t>Principal book figures</w:t>
            </w:r>
          </w:p>
        </w:tc>
        <w:tc>
          <w:tcPr>
            <w:tcW w:type="dxa" w:w="5184"/>
          </w:tcPr>
          <w:p>
            <w:pPr>
              <w:spacing w:after="60" w:before="60" w:line="252" w:lineRule="auto"/>
            </w:pPr>
            <w:r>
              <w:rPr>
                <w:rFonts w:ascii="Aptos" w:hAnsi="Aptos"/>
                <w:color w:val="303236"/>
                <w:sz w:val="20"/>
              </w:rPr>
              <w:t>29</w:t>
            </w:r>
          </w:p>
        </w:tc>
      </w:tr>
      <w:tr>
        <w:trPr>
          <w:cantSplit/>
        </w:trPr>
        <w:tc>
          <w:tcPr>
            <w:tcW w:type="dxa" w:w="5184"/>
            <w:shd w:fill="F5F0E7" w:val="clear"/>
          </w:tcPr>
          <w:p>
            <w:pPr>
              <w:spacing w:after="60" w:before="60" w:line="252" w:lineRule="auto"/>
            </w:pPr>
            <w:r>
              <w:rPr>
                <w:rFonts w:ascii="Aptos" w:hAnsi="Aptos"/>
                <w:color w:val="303236"/>
                <w:sz w:val="20"/>
              </w:rPr>
              <w:t>Book tables</w:t>
            </w:r>
          </w:p>
        </w:tc>
        <w:tc>
          <w:tcPr>
            <w:tcW w:type="dxa" w:w="5184"/>
            <w:shd w:fill="F5F0E7" w:val="clear"/>
          </w:tcPr>
          <w:p>
            <w:pPr>
              <w:spacing w:after="60" w:before="60" w:line="252" w:lineRule="auto"/>
            </w:pPr>
            <w:r>
              <w:rPr>
                <w:rFonts w:ascii="Aptos" w:hAnsi="Aptos"/>
                <w:color w:val="303236"/>
                <w:sz w:val="20"/>
              </w:rPr>
              <w:t>38, including the two front-matter tables</w:t>
            </w:r>
          </w:p>
        </w:tc>
      </w:tr>
      <w:tr>
        <w:trPr>
          <w:cantSplit/>
        </w:trPr>
        <w:tc>
          <w:tcPr>
            <w:tcW w:type="dxa" w:w="5184"/>
          </w:tcPr>
          <w:p>
            <w:pPr>
              <w:spacing w:after="60" w:before="60" w:line="252" w:lineRule="auto"/>
            </w:pPr>
            <w:r>
              <w:rPr>
                <w:rFonts w:ascii="Aptos" w:hAnsi="Aptos"/>
                <w:color w:val="303236"/>
                <w:sz w:val="20"/>
              </w:rPr>
              <w:t>Core institutional records</w:t>
            </w:r>
          </w:p>
        </w:tc>
        <w:tc>
          <w:tcPr>
            <w:tcW w:type="dxa" w:w="5184"/>
          </w:tcPr>
          <w:p>
            <w:pPr>
              <w:spacing w:after="60" w:before="60" w:line="252" w:lineRule="auto"/>
            </w:pPr>
            <w:r>
              <w:rPr>
                <w:rFonts w:ascii="Aptos" w:hAnsi="Aptos"/>
                <w:color w:val="303236"/>
                <w:sz w:val="20"/>
              </w:rPr>
              <w:t>19</w:t>
            </w:r>
          </w:p>
        </w:tc>
      </w:tr>
      <w:tr>
        <w:trPr>
          <w:cantSplit/>
        </w:trPr>
        <w:tc>
          <w:tcPr>
            <w:tcW w:type="dxa" w:w="5184"/>
            <w:shd w:fill="F5F0E7" w:val="clear"/>
          </w:tcPr>
          <w:p>
            <w:pPr>
              <w:spacing w:after="60" w:before="60" w:line="252" w:lineRule="auto"/>
            </w:pPr>
            <w:r>
              <w:rPr>
                <w:rFonts w:ascii="Aptos" w:hAnsi="Aptos"/>
                <w:color w:val="303236"/>
                <w:sz w:val="20"/>
              </w:rPr>
              <w:t>Worked examples</w:t>
            </w:r>
          </w:p>
        </w:tc>
        <w:tc>
          <w:tcPr>
            <w:tcW w:type="dxa" w:w="5184"/>
            <w:shd w:fill="F5F0E7" w:val="clear"/>
          </w:tcPr>
          <w:p>
            <w:pPr>
              <w:spacing w:after="60" w:before="60" w:line="252" w:lineRule="auto"/>
            </w:pPr>
            <w:r>
              <w:rPr>
                <w:rFonts w:ascii="Aptos" w:hAnsi="Aptos"/>
                <w:color w:val="303236"/>
                <w:sz w:val="20"/>
              </w:rPr>
              <w:t>16, plus AIHE-CASE00 as the common case-analysis method</w:t>
            </w:r>
          </w:p>
        </w:tc>
      </w:tr>
      <w:tr>
        <w:trPr>
          <w:cantSplit/>
        </w:trPr>
        <w:tc>
          <w:tcPr>
            <w:tcW w:type="dxa" w:w="5184"/>
          </w:tcPr>
          <w:p>
            <w:pPr>
              <w:spacing w:after="60" w:before="60" w:line="252" w:lineRule="auto"/>
            </w:pPr>
            <w:r>
              <w:rPr>
                <w:rFonts w:ascii="Aptos" w:hAnsi="Aptos"/>
                <w:color w:val="303236"/>
                <w:sz w:val="20"/>
              </w:rPr>
              <w:t>Python analytical modules</w:t>
            </w:r>
          </w:p>
        </w:tc>
        <w:tc>
          <w:tcPr>
            <w:tcW w:type="dxa" w:w="5184"/>
          </w:tcPr>
          <w:p>
            <w:pPr>
              <w:spacing w:after="60" w:before="60" w:line="252" w:lineRule="auto"/>
            </w:pPr>
            <w:r>
              <w:rPr>
                <w:rFonts w:ascii="Aptos" w:hAnsi="Aptos"/>
                <w:color w:val="303236"/>
                <w:sz w:val="20"/>
              </w:rPr>
              <w:t>36</w:t>
            </w:r>
          </w:p>
        </w:tc>
      </w:tr>
      <w:tr>
        <w:trPr>
          <w:cantSplit/>
        </w:trPr>
        <w:tc>
          <w:tcPr>
            <w:tcW w:type="dxa" w:w="5184"/>
            <w:shd w:fill="F5F0E7" w:val="clear"/>
          </w:tcPr>
          <w:p>
            <w:pPr>
              <w:spacing w:after="60" w:before="60" w:line="252" w:lineRule="auto"/>
            </w:pPr>
            <w:r>
              <w:rPr>
                <w:rFonts w:ascii="Aptos" w:hAnsi="Aptos"/>
                <w:color w:val="303236"/>
                <w:sz w:val="20"/>
              </w:rPr>
              <w:t>Catalogued companion resources</w:t>
            </w:r>
          </w:p>
        </w:tc>
        <w:tc>
          <w:tcPr>
            <w:tcW w:type="dxa" w:w="5184"/>
            <w:shd w:fill="F5F0E7" w:val="clear"/>
          </w:tcPr>
          <w:p>
            <w:pPr>
              <w:spacing w:after="60" w:before="60" w:line="252" w:lineRule="auto"/>
            </w:pPr>
            <w:r>
              <w:rPr>
                <w:rFonts w:ascii="Aptos" w:hAnsi="Aptos"/>
                <w:color w:val="303236"/>
                <w:sz w:val="20"/>
              </w:rPr>
              <w:t>126</w:t>
            </w:r>
          </w:p>
        </w:tc>
      </w:tr>
    </w:tbl>
    <w:p>
      <w:pPr>
        <w:pStyle w:val="Heading1"/>
      </w:pPr>
      <w:r>
        <w:t>The four core resource families</w:t>
      </w:r>
    </w:p>
    <w:tbl>
      <w:tblPr>
        <w:tblW w:type="auto" w:w="0"/>
        <w:tblLayout w:type="fixed"/>
        <w:tblLook w:firstColumn="1" w:firstRow="1" w:lastColumn="0" w:lastRow="0" w:noHBand="0" w:noVBand="1" w:val="04A0"/>
        <w:tblBorders>
          <w:top w:val="single" w:sz="4" w:color="D9D0C2"/>
          <w:left w:val="single" w:sz="4" w:color="D9D0C2"/>
          <w:bottom w:val="single" w:sz="4" w:color="D9D0C2"/>
          <w:right w:val="single" w:sz="4" w:color="D9D0C2"/>
          <w:insideH w:val="single" w:sz="4" w:color="D9D0C2"/>
          <w:insideV w:val="single" w:sz="4" w:color="D9D0C2"/>
        </w:tblBorders>
        <w:tblCellMar>
          <w:top w:w="80" w:type="dxa"/>
          <w:left w:w="80" w:type="dxa"/>
          <w:bottom w:w="80" w:type="dxa"/>
          <w:right w:w="80" w:type="dxa"/>
        </w:tblCellMar>
      </w:tblPr>
      <w:tblGrid>
        <w:gridCol w:w="2356"/>
        <w:gridCol w:w="4713"/>
        <w:gridCol w:w="3299"/>
      </w:tblGrid>
      <w:tr>
        <w:trPr>
          <w:tblHeader/>
          <w:cantSplit/>
        </w:trPr>
        <w:tc>
          <w:tcPr>
            <w:tcW w:type="dxa" w:w="2356"/>
            <w:shd w:fill="6B2230" w:val="clear"/>
          </w:tcPr>
          <w:p>
            <w:pPr>
              <w:spacing w:after="60" w:before="60"/>
            </w:pPr>
            <w:r>
              <w:rPr>
                <w:rFonts w:ascii="Aptos" w:hAnsi="Aptos"/>
                <w:b/>
                <w:color w:val="FFFFFF"/>
                <w:sz w:val="18"/>
              </w:rPr>
              <w:t>Family</w:t>
            </w:r>
          </w:p>
        </w:tc>
        <w:tc>
          <w:tcPr>
            <w:tcW w:type="dxa" w:w="4713"/>
            <w:shd w:fill="6B2230" w:val="clear"/>
          </w:tcPr>
          <w:p>
            <w:pPr>
              <w:spacing w:after="60" w:before="60"/>
            </w:pPr>
            <w:r>
              <w:rPr>
                <w:rFonts w:ascii="Aptos" w:hAnsi="Aptos"/>
                <w:b/>
                <w:color w:val="FFFFFF"/>
                <w:sz w:val="18"/>
              </w:rPr>
              <w:t>Scope</w:t>
            </w:r>
          </w:p>
        </w:tc>
        <w:tc>
          <w:tcPr>
            <w:tcW w:type="dxa" w:w="3299"/>
            <w:shd w:fill="6B2230" w:val="clear"/>
          </w:tcPr>
          <w:p>
            <w:pPr>
              <w:spacing w:after="60" w:before="60"/>
            </w:pPr>
            <w:r>
              <w:rPr>
                <w:rFonts w:ascii="Aptos" w:hAnsi="Aptos"/>
                <w:b/>
                <w:color w:val="FFFFFF"/>
                <w:sz w:val="18"/>
              </w:rPr>
              <w:t>Core identifiers</w:t>
            </w:r>
          </w:p>
        </w:tc>
      </w:tr>
      <w:tr>
        <w:trPr>
          <w:cantSplit/>
        </w:trPr>
        <w:tc>
          <w:tcPr>
            <w:tcW w:type="dxa" w:w="2356"/>
            <w:shd w:fill="F5F0E7" w:val="clear"/>
          </w:tcPr>
          <w:p>
            <w:pPr>
              <w:spacing w:after="60" w:before="60" w:line="252" w:lineRule="auto"/>
            </w:pPr>
            <w:r>
              <w:rPr>
                <w:rFonts w:ascii="Aptos" w:hAnsi="Aptos"/>
                <w:color w:val="303236"/>
                <w:sz w:val="18"/>
              </w:rPr>
              <w:t>A — Framing and readiness</w:t>
            </w:r>
          </w:p>
        </w:tc>
        <w:tc>
          <w:tcPr>
            <w:tcW w:type="dxa" w:w="4713"/>
            <w:shd w:fill="F5F0E7" w:val="clear"/>
          </w:tcPr>
          <w:p>
            <w:pPr>
              <w:spacing w:after="60" w:before="60" w:line="252" w:lineRule="auto"/>
            </w:pPr>
            <w:r>
              <w:rPr>
                <w:rFonts w:ascii="Aptos" w:hAnsi="Aptos"/>
                <w:color w:val="303236"/>
                <w:sz w:val="18"/>
              </w:rPr>
              <w:t>Decision specification, participation, readiness, and data fitness.</w:t>
            </w:r>
          </w:p>
        </w:tc>
        <w:tc>
          <w:tcPr>
            <w:tcW w:type="dxa" w:w="3299"/>
            <w:shd w:fill="F5F0E7" w:val="clear"/>
          </w:tcPr>
          <w:p>
            <w:pPr>
              <w:spacing w:after="60" w:before="60" w:line="252" w:lineRule="auto"/>
            </w:pPr>
            <w:r>
              <w:rPr>
                <w:rFonts w:ascii="Aptos" w:hAnsi="Aptos"/>
                <w:color w:val="303236"/>
                <w:sz w:val="18"/>
              </w:rPr>
              <w:t>AIHE-A01 to AIHE-A04</w:t>
            </w:r>
          </w:p>
        </w:tc>
      </w:tr>
      <w:tr>
        <w:trPr>
          <w:cantSplit/>
        </w:trPr>
        <w:tc>
          <w:tcPr>
            <w:tcW w:type="dxa" w:w="2356"/>
          </w:tcPr>
          <w:p>
            <w:pPr>
              <w:spacing w:after="60" w:before="60" w:line="252" w:lineRule="auto"/>
            </w:pPr>
            <w:r>
              <w:rPr>
                <w:rFonts w:ascii="Aptos" w:hAnsi="Aptos"/>
                <w:color w:val="303236"/>
                <w:sz w:val="18"/>
              </w:rPr>
              <w:t>B — Economics and modelling</w:t>
            </w:r>
          </w:p>
        </w:tc>
        <w:tc>
          <w:tcPr>
            <w:tcW w:type="dxa" w:w="4713"/>
          </w:tcPr>
          <w:p>
            <w:pPr>
              <w:spacing w:after="60" w:before="60" w:line="252" w:lineRule="auto"/>
            </w:pPr>
            <w:r>
              <w:rPr>
                <w:rFonts w:ascii="Aptos" w:hAnsi="Aptos"/>
                <w:color w:val="303236"/>
                <w:sz w:val="18"/>
              </w:rPr>
              <w:t>Economic specification, lifecycle cost, benefits, HTA, uncertainty, and reproducibility.</w:t>
            </w:r>
          </w:p>
        </w:tc>
        <w:tc>
          <w:tcPr>
            <w:tcW w:type="dxa" w:w="3299"/>
          </w:tcPr>
          <w:p>
            <w:pPr>
              <w:spacing w:after="60" w:before="60" w:line="252" w:lineRule="auto"/>
            </w:pPr>
            <w:r>
              <w:rPr>
                <w:rFonts w:ascii="Aptos" w:hAnsi="Aptos"/>
                <w:color w:val="303236"/>
                <w:sz w:val="18"/>
              </w:rPr>
              <w:t>AIHE-B01 to AIHE-B05</w:t>
            </w:r>
          </w:p>
        </w:tc>
      </w:tr>
      <w:tr>
        <w:trPr>
          <w:cantSplit/>
        </w:trPr>
        <w:tc>
          <w:tcPr>
            <w:tcW w:type="dxa" w:w="2356"/>
            <w:shd w:fill="F5F0E7" w:val="clear"/>
          </w:tcPr>
          <w:p>
            <w:pPr>
              <w:spacing w:after="60" w:before="60" w:line="252" w:lineRule="auto"/>
            </w:pPr>
            <w:r>
              <w:rPr>
                <w:rFonts w:ascii="Aptos" w:hAnsi="Aptos"/>
                <w:color w:val="303236"/>
                <w:sz w:val="18"/>
              </w:rPr>
              <w:t>C — Quality and institutional risk</w:t>
            </w:r>
          </w:p>
        </w:tc>
        <w:tc>
          <w:tcPr>
            <w:tcW w:type="dxa" w:w="4713"/>
            <w:shd w:fill="F5F0E7" w:val="clear"/>
          </w:tcPr>
          <w:p>
            <w:pPr>
              <w:spacing w:after="60" w:before="60" w:line="252" w:lineRule="auto"/>
            </w:pPr>
            <w:r>
              <w:rPr>
                <w:rFonts w:ascii="Aptos" w:hAnsi="Aptos"/>
                <w:color w:val="303236"/>
                <w:sz w:val="18"/>
              </w:rPr>
              <w:t>Quality control, corrective action, risk, human oversight, and communication.</w:t>
            </w:r>
          </w:p>
        </w:tc>
        <w:tc>
          <w:tcPr>
            <w:tcW w:type="dxa" w:w="3299"/>
            <w:shd w:fill="F5F0E7" w:val="clear"/>
          </w:tcPr>
          <w:p>
            <w:pPr>
              <w:spacing w:after="60" w:before="60" w:line="252" w:lineRule="auto"/>
            </w:pPr>
            <w:r>
              <w:rPr>
                <w:rFonts w:ascii="Aptos" w:hAnsi="Aptos"/>
                <w:color w:val="303236"/>
                <w:sz w:val="18"/>
              </w:rPr>
              <w:t>AIHE-C01 to AIHE-C05</w:t>
            </w:r>
          </w:p>
        </w:tc>
      </w:tr>
      <w:tr>
        <w:trPr>
          <w:cantSplit/>
        </w:trPr>
        <w:tc>
          <w:tcPr>
            <w:tcW w:type="dxa" w:w="2356"/>
          </w:tcPr>
          <w:p>
            <w:pPr>
              <w:spacing w:after="60" w:before="60" w:line="252" w:lineRule="auto"/>
            </w:pPr>
            <w:r>
              <w:rPr>
                <w:rFonts w:ascii="Aptos" w:hAnsi="Aptos"/>
                <w:color w:val="303236"/>
                <w:sz w:val="18"/>
              </w:rPr>
              <w:t>D — Procurement and lifecycle governance</w:t>
            </w:r>
          </w:p>
        </w:tc>
        <w:tc>
          <w:tcPr>
            <w:tcW w:type="dxa" w:w="4713"/>
          </w:tcPr>
          <w:p>
            <w:pPr>
              <w:spacing w:after="60" w:before="60" w:line="252" w:lineRule="auto"/>
            </w:pPr>
            <w:r>
              <w:rPr>
                <w:rFonts w:ascii="Aptos" w:hAnsi="Aptos"/>
                <w:color w:val="303236"/>
                <w:sz w:val="18"/>
              </w:rPr>
              <w:t>Supplier requirements, current decision states, monitoring, incidents, material change, renewal, replacement, and retirement.</w:t>
            </w:r>
          </w:p>
        </w:tc>
        <w:tc>
          <w:tcPr>
            <w:tcW w:type="dxa" w:w="3299"/>
          </w:tcPr>
          <w:p>
            <w:pPr>
              <w:spacing w:after="60" w:before="60" w:line="252" w:lineRule="auto"/>
            </w:pPr>
            <w:r>
              <w:rPr>
                <w:rFonts w:ascii="Aptos" w:hAnsi="Aptos"/>
                <w:color w:val="303236"/>
                <w:sz w:val="18"/>
              </w:rPr>
              <w:t>AIHE-D01 to AIHE-D05</w:t>
            </w:r>
          </w:p>
        </w:tc>
      </w:tr>
    </w:tbl>
    <w:p>
      <w:r>
        <w:t>Stable resource identifiers remain unchanged for retained resources. Examples include AIHE-D02 for current decision-state documentation, AIHE-CASE12 for a model-update and renewal case, and AIHE-PY40 for advisory decision-state and trigger review.</w:t>
      </w:r>
    </w:p>
    <w:p>
      <w:pPr>
        <w:pStyle w:val="Heading1"/>
        <w:pageBreakBefore/>
      </w:pPr>
      <w:r>
        <w:t>Recommended institutional sequence</w:t>
      </w:r>
    </w:p>
    <w:p>
      <w:pPr>
        <w:pStyle w:val="ListNumber"/>
      </w:pPr>
      <w:r>
        <w:t>Define the service problem, affected population, setting, intended use, accountable decision-maker, and realistic comparator.</w:t>
      </w:r>
    </w:p>
    <w:p>
      <w:pPr>
        <w:pStyle w:val="ListNumber"/>
      </w:pPr>
      <w:r>
        <w:t>Read the aligned book chapter and identify the smallest sufficient companion resource set.</w:t>
      </w:r>
    </w:p>
    <w:p>
      <w:pPr>
        <w:pStyle w:val="ListNumber"/>
      </w:pPr>
      <w:r>
        <w:t>Review the corresponding worked example and distinguish its synthetic assumptions from evidence needed locally.</w:t>
      </w:r>
    </w:p>
    <w:p>
      <w:pPr>
        <w:pStyle w:val="ListNumber"/>
      </w:pPr>
      <w:r>
        <w:t>Create a governed local copy of each selected record or workbook.</w:t>
      </w:r>
    </w:p>
    <w:p>
      <w:pPr>
        <w:pStyle w:val="ListNumber"/>
      </w:pPr>
      <w:r>
        <w:t>Replace illustrative content with authorized, versioned local evidence and preserve important unknowns or disagreements.</w:t>
      </w:r>
    </w:p>
    <w:p>
      <w:pPr>
        <w:pStyle w:val="ListNumber"/>
      </w:pPr>
      <w:r>
        <w:t>Complete multidisciplinary review proportionate to consequence, uncertainty, scale, reversibility, and institutional dependence.</w:t>
      </w:r>
    </w:p>
    <w:p>
      <w:pPr>
        <w:pStyle w:val="ListNumber"/>
      </w:pPr>
      <w:r>
        <w:t>Record the current decision state, conditions, mandatory safeguards, monitoring thresholds, transition triggers, accountable authority, next review date, and credible exit route.</w:t>
      </w:r>
    </w:p>
    <w:p>
      <w:pPr>
        <w:pStyle w:val="ListNumber"/>
      </w:pPr>
      <w:r>
        <w:t>Reconsider the decision after material change, new evidence, an incident, changed costs, renewal, restriction, replacement, or retirement.</w:t>
      </w:r>
    </w:p>
    <w:p>
      <w:pPr>
        <w:pStyle w:val="Heading1"/>
      </w:pPr>
      <w:r>
        <w:t>Using forms and workbooks together</w:t>
      </w:r>
    </w:p>
    <w:tbl>
      <w:tblPr>
        <w:tblW w:type="auto" w:w="0"/>
        <w:tblLayout w:type="fixed"/>
        <w:tblLook w:firstColumn="1" w:firstRow="1" w:lastColumn="0" w:lastRow="0" w:noHBand="0" w:noVBand="1" w:val="04A0"/>
        <w:tblBorders>
          <w:top w:val="single" w:sz="4" w:color="D9D0C2"/>
          <w:left w:val="single" w:sz="4" w:color="D9D0C2"/>
          <w:bottom w:val="single" w:sz="4" w:color="D9D0C2"/>
          <w:right w:val="single" w:sz="4" w:color="D9D0C2"/>
          <w:insideH w:val="single" w:sz="4" w:color="D9D0C2"/>
          <w:insideV w:val="single" w:sz="4" w:color="D9D0C2"/>
        </w:tblBorders>
        <w:tblCellMar>
          <w:top w:w="80" w:type="dxa"/>
          <w:left w:w="80" w:type="dxa"/>
          <w:bottom w:w="80" w:type="dxa"/>
          <w:right w:w="80" w:type="dxa"/>
        </w:tblCellMar>
      </w:tblPr>
      <w:tblGrid>
        <w:gridCol w:w="5184"/>
        <w:gridCol w:w="5184"/>
      </w:tblGrid>
      <w:tr>
        <w:trPr>
          <w:tblHeader/>
          <w:cantSplit/>
        </w:trPr>
        <w:tc>
          <w:tcPr>
            <w:tcW w:type="dxa" w:w="5184"/>
            <w:shd w:fill="6B2230" w:val="clear"/>
          </w:tcPr>
          <w:p>
            <w:pPr>
              <w:spacing w:after="60" w:before="60"/>
            </w:pPr>
            <w:r>
              <w:rPr>
                <w:rFonts w:ascii="Aptos" w:hAnsi="Aptos"/>
                <w:b/>
                <w:color w:val="FFFFFF"/>
                <w:sz w:val="18"/>
              </w:rPr>
              <w:t>Word forms</w:t>
            </w:r>
          </w:p>
        </w:tc>
        <w:tc>
          <w:tcPr>
            <w:tcW w:type="dxa" w:w="5184"/>
            <w:shd w:fill="6B2230" w:val="clear"/>
          </w:tcPr>
          <w:p>
            <w:pPr>
              <w:spacing w:after="60" w:before="60"/>
            </w:pPr>
            <w:r>
              <w:rPr>
                <w:rFonts w:ascii="Aptos" w:hAnsi="Aptos"/>
                <w:b/>
                <w:color w:val="FFFFFF"/>
                <w:sz w:val="18"/>
              </w:rPr>
              <w:t>Excel workbooks</w:t>
            </w:r>
          </w:p>
        </w:tc>
      </w:tr>
      <w:tr>
        <w:trPr>
          <w:cantSplit/>
        </w:trPr>
        <w:tc>
          <w:tcPr>
            <w:tcW w:type="dxa" w:w="5184"/>
            <w:shd w:fill="F5F0E7" w:val="clear"/>
          </w:tcPr>
          <w:p>
            <w:pPr>
              <w:spacing w:after="60" w:before="60" w:line="252" w:lineRule="auto"/>
            </w:pPr>
            <w:r>
              <w:rPr>
                <w:rFonts w:ascii="Aptos" w:hAnsi="Aptos"/>
                <w:color w:val="303236"/>
                <w:sz w:val="18"/>
              </w:rPr>
              <w:t>Narrative justification, committee discussion, conditions, responsibilities, dissent, authorization, and sign-off.</w:t>
            </w:r>
          </w:p>
        </w:tc>
        <w:tc>
          <w:tcPr>
            <w:tcW w:type="dxa" w:w="5184"/>
            <w:shd w:fill="F5F0E7" w:val="clear"/>
          </w:tcPr>
          <w:p>
            <w:pPr>
              <w:spacing w:after="60" w:before="60" w:line="252" w:lineRule="auto"/>
            </w:pPr>
            <w:r>
              <w:rPr>
                <w:rFonts w:ascii="Aptos" w:hAnsi="Aptos"/>
                <w:color w:val="303236"/>
                <w:sz w:val="18"/>
              </w:rPr>
              <w:t>Structured data entry, costing, registers, comparisons, calculations, monitoring, and repeated review.</w:t>
            </w:r>
          </w:p>
        </w:tc>
      </w:tr>
      <w:tr>
        <w:trPr>
          <w:cantSplit/>
        </w:trPr>
        <w:tc>
          <w:tcPr>
            <w:tcW w:type="dxa" w:w="5184"/>
          </w:tcPr>
          <w:p>
            <w:pPr>
              <w:spacing w:after="60" w:before="60" w:line="252" w:lineRule="auto"/>
            </w:pPr>
            <w:r>
              <w:rPr>
                <w:rFonts w:ascii="Aptos" w:hAnsi="Aptos"/>
                <w:color w:val="303236"/>
                <w:sz w:val="18"/>
              </w:rPr>
              <w:t>Use the consolidated volume when several institutional records are needed; choose an individual form for a focused task.</w:t>
            </w:r>
          </w:p>
        </w:tc>
        <w:tc>
          <w:tcPr>
            <w:tcW w:type="dxa" w:w="5184"/>
          </w:tcPr>
          <w:p>
            <w:pPr>
              <w:spacing w:after="60" w:before="60" w:line="252" w:lineRule="auto"/>
            </w:pPr>
            <w:r>
              <w:rPr>
                <w:rFonts w:ascii="Aptos" w:hAnsi="Aptos"/>
                <w:color w:val="303236"/>
                <w:sz w:val="18"/>
              </w:rPr>
              <w:t>Use the consolidated workbook for several records; choose a specialist workbook or analytical template for a focused calculation.</w:t>
            </w:r>
          </w:p>
        </w:tc>
      </w:tr>
      <w:tr>
        <w:trPr>
          <w:cantSplit/>
        </w:trPr>
        <w:tc>
          <w:tcPr>
            <w:tcW w:type="dxa" w:w="5184"/>
            <w:shd w:fill="F5F0E7" w:val="clear"/>
          </w:tcPr>
          <w:p>
            <w:pPr>
              <w:spacing w:after="60" w:before="60" w:line="252" w:lineRule="auto"/>
            </w:pPr>
            <w:r>
              <w:rPr>
                <w:rFonts w:ascii="Aptos" w:hAnsi="Aptos"/>
                <w:color w:val="303236"/>
                <w:sz w:val="18"/>
              </w:rPr>
              <w:t>Preserve the identifier, version, evidence cut-off, intervention identity, owner, and local changes.</w:t>
            </w:r>
          </w:p>
        </w:tc>
        <w:tc>
          <w:tcPr>
            <w:tcW w:type="dxa" w:w="5184"/>
            <w:shd w:fill="F5F0E7" w:val="clear"/>
          </w:tcPr>
          <w:p>
            <w:pPr>
              <w:spacing w:after="60" w:before="60" w:line="252" w:lineRule="auto"/>
            </w:pPr>
            <w:r>
              <w:rPr>
                <w:rFonts w:ascii="Aptos" w:hAnsi="Aptos"/>
                <w:color w:val="303236"/>
                <w:sz w:val="18"/>
              </w:rPr>
              <w:t>Preserve the same controls, with data definitions, formula assumptions, input sources, and calculation checks.</w:t>
            </w:r>
          </w:p>
        </w:tc>
      </w:tr>
    </w:tbl>
    <w:p>
      <w:r>
        <w:t>A form and workbook can be used together. The form preserves the narrative decision; the workbook holds structured supporting evidence. Neither replaces the current decision dossier.</w:t>
      </w:r>
    </w:p>
    <w:p>
      <w:pPr>
        <w:pStyle w:val="Heading1"/>
        <w:pageBreakBefore/>
      </w:pPr>
      <w:r>
        <w:t>Decision lifecycle at a glance</w:t>
      </w:r>
    </w:p>
    <w:p>
      <w:r>
        <w:t>The sequence is iterative. Later evidence or changed circumstances may reopen an earlier decision. Implementation activity remains distinct from institutional permission.</w:t>
      </w:r>
    </w:p>
    <w:tbl>
      <w:tblPr>
        <w:tblW w:type="auto" w:w="0"/>
        <w:tblLayout w:type="fixed"/>
        <w:tblLook w:firstColumn="1" w:firstRow="1" w:lastColumn="0" w:lastRow="0" w:noHBand="0" w:noVBand="1" w:val="04A0"/>
        <w:tblBorders>
          <w:top w:val="single" w:sz="4" w:color="D9D0C2"/>
          <w:left w:val="single" w:sz="4" w:color="D9D0C2"/>
          <w:bottom w:val="single" w:sz="4" w:color="D9D0C2"/>
          <w:right w:val="single" w:sz="4" w:color="D9D0C2"/>
          <w:insideH w:val="single" w:sz="4" w:color="D9D0C2"/>
          <w:insideV w:val="single" w:sz="4" w:color="D9D0C2"/>
        </w:tblBorders>
        <w:tblCellMar>
          <w:top w:w="80" w:type="dxa"/>
          <w:left w:w="80" w:type="dxa"/>
          <w:bottom w:w="80" w:type="dxa"/>
          <w:right w:w="80" w:type="dxa"/>
        </w:tblCellMar>
      </w:tblPr>
      <w:tblGrid>
        <w:gridCol w:w="2356"/>
        <w:gridCol w:w="4713"/>
        <w:gridCol w:w="3299"/>
      </w:tblGrid>
      <w:tr>
        <w:trPr>
          <w:tblHeader/>
          <w:cantSplit/>
        </w:trPr>
        <w:tc>
          <w:tcPr>
            <w:tcW w:type="dxa" w:w="2356"/>
            <w:shd w:fill="6B2230" w:val="clear"/>
          </w:tcPr>
          <w:p>
            <w:pPr>
              <w:spacing w:after="60" w:before="60"/>
            </w:pPr>
            <w:r>
              <w:rPr>
                <w:rFonts w:ascii="Aptos" w:hAnsi="Aptos"/>
                <w:b/>
                <w:color w:val="FFFFFF"/>
                <w:sz w:val="17"/>
              </w:rPr>
              <w:t>Stage</w:t>
            </w:r>
          </w:p>
        </w:tc>
        <w:tc>
          <w:tcPr>
            <w:tcW w:type="dxa" w:w="4713"/>
            <w:shd w:fill="6B2230" w:val="clear"/>
          </w:tcPr>
          <w:p>
            <w:pPr>
              <w:spacing w:after="60" w:before="60"/>
            </w:pPr>
            <w:r>
              <w:rPr>
                <w:rFonts w:ascii="Aptos" w:hAnsi="Aptos"/>
                <w:b/>
                <w:color w:val="FFFFFF"/>
                <w:sz w:val="17"/>
              </w:rPr>
              <w:t>Principal question</w:t>
            </w:r>
          </w:p>
        </w:tc>
        <w:tc>
          <w:tcPr>
            <w:tcW w:type="dxa" w:w="3299"/>
            <w:shd w:fill="6B2230" w:val="clear"/>
          </w:tcPr>
          <w:p>
            <w:pPr>
              <w:spacing w:after="60" w:before="60"/>
            </w:pPr>
            <w:r>
              <w:rPr>
                <w:rFonts w:ascii="Aptos" w:hAnsi="Aptos"/>
                <w:b/>
                <w:color w:val="FFFFFF"/>
                <w:sz w:val="17"/>
              </w:rPr>
              <w:t>Typical core records</w:t>
            </w:r>
          </w:p>
        </w:tc>
      </w:tr>
      <w:tr>
        <w:trPr>
          <w:cantSplit/>
        </w:trPr>
        <w:tc>
          <w:tcPr>
            <w:tcW w:type="dxa" w:w="2356"/>
            <w:shd w:fill="F5F0E7" w:val="clear"/>
          </w:tcPr>
          <w:p>
            <w:pPr>
              <w:spacing w:after="60" w:before="60" w:line="252" w:lineRule="auto"/>
            </w:pPr>
            <w:r>
              <w:rPr>
                <w:rFonts w:ascii="Aptos" w:hAnsi="Aptos"/>
                <w:color w:val="303236"/>
                <w:sz w:val="17"/>
              </w:rPr>
              <w:t>1. Define the decision</w:t>
            </w:r>
          </w:p>
        </w:tc>
        <w:tc>
          <w:tcPr>
            <w:tcW w:type="dxa" w:w="4713"/>
            <w:shd w:fill="F5F0E7" w:val="clear"/>
          </w:tcPr>
          <w:p>
            <w:pPr>
              <w:spacing w:after="60" w:before="60" w:line="252" w:lineRule="auto"/>
            </w:pPr>
            <w:r>
              <w:rPr>
                <w:rFonts w:ascii="Aptos" w:hAnsi="Aptos"/>
                <w:color w:val="303236"/>
                <w:sz w:val="17"/>
              </w:rPr>
              <w:t>Is the problem sufficiently important and specified to justify further assessment?</w:t>
            </w:r>
          </w:p>
        </w:tc>
        <w:tc>
          <w:tcPr>
            <w:tcW w:type="dxa" w:w="3299"/>
            <w:shd w:fill="F5F0E7" w:val="clear"/>
          </w:tcPr>
          <w:p>
            <w:pPr>
              <w:spacing w:after="60" w:before="60" w:line="252" w:lineRule="auto"/>
            </w:pPr>
            <w:r>
              <w:rPr>
                <w:rFonts w:ascii="Aptos" w:hAnsi="Aptos"/>
                <w:color w:val="303236"/>
                <w:sz w:val="17"/>
              </w:rPr>
              <w:t>AIHE-A01; AIHE-A02</w:t>
            </w:r>
          </w:p>
        </w:tc>
      </w:tr>
      <w:tr>
        <w:trPr>
          <w:cantSplit/>
        </w:trPr>
        <w:tc>
          <w:tcPr>
            <w:tcW w:type="dxa" w:w="2356"/>
          </w:tcPr>
          <w:p>
            <w:pPr>
              <w:spacing w:after="60" w:before="60" w:line="252" w:lineRule="auto"/>
            </w:pPr>
            <w:r>
              <w:rPr>
                <w:rFonts w:ascii="Aptos" w:hAnsi="Aptos"/>
                <w:color w:val="303236"/>
                <w:sz w:val="17"/>
              </w:rPr>
              <w:t>2. Assess readiness and data</w:t>
            </w:r>
          </w:p>
        </w:tc>
        <w:tc>
          <w:tcPr>
            <w:tcW w:type="dxa" w:w="4713"/>
          </w:tcPr>
          <w:p>
            <w:pPr>
              <w:spacing w:after="60" w:before="60" w:line="252" w:lineRule="auto"/>
            </w:pPr>
            <w:r>
              <w:rPr>
                <w:rFonts w:ascii="Aptos" w:hAnsi="Aptos"/>
                <w:color w:val="303236"/>
                <w:sz w:val="17"/>
              </w:rPr>
              <w:t>Are critical prerequisites adequate for the intended level of consequence and dependence?</w:t>
            </w:r>
          </w:p>
        </w:tc>
        <w:tc>
          <w:tcPr>
            <w:tcW w:type="dxa" w:w="3299"/>
          </w:tcPr>
          <w:p>
            <w:pPr>
              <w:spacing w:after="60" w:before="60" w:line="252" w:lineRule="auto"/>
            </w:pPr>
            <w:r>
              <w:rPr>
                <w:rFonts w:ascii="Aptos" w:hAnsi="Aptos"/>
                <w:color w:val="303236"/>
                <w:sz w:val="17"/>
              </w:rPr>
              <w:t>AIHE-A03; AIHE-A04</w:t>
            </w:r>
          </w:p>
        </w:tc>
      </w:tr>
      <w:tr>
        <w:trPr>
          <w:cantSplit/>
        </w:trPr>
        <w:tc>
          <w:tcPr>
            <w:tcW w:type="dxa" w:w="2356"/>
            <w:shd w:fill="F5F0E7" w:val="clear"/>
          </w:tcPr>
          <w:p>
            <w:pPr>
              <w:spacing w:after="60" w:before="60" w:line="252" w:lineRule="auto"/>
            </w:pPr>
            <w:r>
              <w:rPr>
                <w:rFonts w:ascii="Aptos" w:hAnsi="Aptos"/>
                <w:color w:val="303236"/>
                <w:sz w:val="17"/>
              </w:rPr>
              <w:t>3. Establish evidence and quality requirements</w:t>
            </w:r>
          </w:p>
        </w:tc>
        <w:tc>
          <w:tcPr>
            <w:tcW w:type="dxa" w:w="4713"/>
            <w:shd w:fill="F5F0E7" w:val="clear"/>
          </w:tcPr>
          <w:p>
            <w:pPr>
              <w:spacing w:after="60" w:before="60" w:line="252" w:lineRule="auto"/>
            </w:pPr>
            <w:r>
              <w:rPr>
                <w:rFonts w:ascii="Aptos" w:hAnsi="Aptos"/>
                <w:color w:val="303236"/>
                <w:sz w:val="17"/>
              </w:rPr>
              <w:t>Is the planned evidence proportionate to intended use, uncertainty, and consequence?</w:t>
            </w:r>
          </w:p>
        </w:tc>
        <w:tc>
          <w:tcPr>
            <w:tcW w:type="dxa" w:w="3299"/>
            <w:shd w:fill="F5F0E7" w:val="clear"/>
          </w:tcPr>
          <w:p>
            <w:pPr>
              <w:spacing w:after="60" w:before="60" w:line="252" w:lineRule="auto"/>
            </w:pPr>
            <w:r>
              <w:rPr>
                <w:rFonts w:ascii="Aptos" w:hAnsi="Aptos"/>
                <w:color w:val="303236"/>
                <w:sz w:val="17"/>
              </w:rPr>
              <w:t>AIHE-C01; AIHE-C02; AIHE-EX05; AIHE-RG02; AIHE-RG06</w:t>
            </w:r>
          </w:p>
        </w:tc>
      </w:tr>
      <w:tr>
        <w:trPr>
          <w:cantSplit/>
        </w:trPr>
        <w:tc>
          <w:tcPr>
            <w:tcW w:type="dxa" w:w="2356"/>
          </w:tcPr>
          <w:p>
            <w:pPr>
              <w:spacing w:after="60" w:before="60" w:line="252" w:lineRule="auto"/>
            </w:pPr>
            <w:r>
              <w:rPr>
                <w:rFonts w:ascii="Aptos" w:hAnsi="Aptos"/>
                <w:color w:val="303236"/>
                <w:sz w:val="17"/>
              </w:rPr>
              <w:t>4. Model cost, value, affordability, and HTA</w:t>
            </w:r>
          </w:p>
        </w:tc>
        <w:tc>
          <w:tcPr>
            <w:tcW w:type="dxa" w:w="4713"/>
          </w:tcPr>
          <w:p>
            <w:pPr>
              <w:spacing w:after="60" w:before="60" w:line="252" w:lineRule="auto"/>
            </w:pPr>
            <w:r>
              <w:rPr>
                <w:rFonts w:ascii="Aptos" w:hAnsi="Aptos"/>
                <w:color w:val="303236"/>
                <w:sz w:val="17"/>
              </w:rPr>
              <w:t>Does the intervention have a defensible value proposition and a financeable path under realistic scenarios?</w:t>
            </w:r>
          </w:p>
        </w:tc>
        <w:tc>
          <w:tcPr>
            <w:tcW w:type="dxa" w:w="3299"/>
          </w:tcPr>
          <w:p>
            <w:pPr>
              <w:spacing w:after="60" w:before="60" w:line="252" w:lineRule="auto"/>
            </w:pPr>
            <w:r>
              <w:rPr>
                <w:rFonts w:ascii="Aptos" w:hAnsi="Aptos"/>
                <w:color w:val="303236"/>
                <w:sz w:val="17"/>
              </w:rPr>
              <w:t>AIHE-B01; AIHE-B02; AIHE-B03; AIHE-B04</w:t>
            </w:r>
          </w:p>
        </w:tc>
      </w:tr>
      <w:tr>
        <w:trPr>
          <w:cantSplit/>
        </w:trPr>
        <w:tc>
          <w:tcPr>
            <w:tcW w:type="dxa" w:w="2356"/>
            <w:shd w:fill="F5F0E7" w:val="clear"/>
          </w:tcPr>
          <w:p>
            <w:pPr>
              <w:spacing w:after="60" w:before="60" w:line="252" w:lineRule="auto"/>
            </w:pPr>
            <w:r>
              <w:rPr>
                <w:rFonts w:ascii="Aptos" w:hAnsi="Aptos"/>
                <w:color w:val="303236"/>
                <w:sz w:val="17"/>
              </w:rPr>
              <w:t>5. Select the decision model and characterize uncertainty</w:t>
            </w:r>
          </w:p>
        </w:tc>
        <w:tc>
          <w:tcPr>
            <w:tcW w:type="dxa" w:w="4713"/>
            <w:shd w:fill="F5F0E7" w:val="clear"/>
          </w:tcPr>
          <w:p>
            <w:pPr>
              <w:spacing w:after="60" w:before="60" w:line="252" w:lineRule="auto"/>
            </w:pPr>
            <w:r>
              <w:rPr>
                <w:rFonts w:ascii="Aptos" w:hAnsi="Aptos"/>
                <w:color w:val="303236"/>
                <w:sz w:val="17"/>
              </w:rPr>
              <w:t>Is model complexity justified, credible, reproducible, and decision-relevant?</w:t>
            </w:r>
          </w:p>
        </w:tc>
        <w:tc>
          <w:tcPr>
            <w:tcW w:type="dxa" w:w="3299"/>
            <w:shd w:fill="F5F0E7" w:val="clear"/>
          </w:tcPr>
          <w:p>
            <w:pPr>
              <w:spacing w:after="60" w:before="60" w:line="252" w:lineRule="auto"/>
            </w:pPr>
            <w:r>
              <w:rPr>
                <w:rFonts w:ascii="Aptos" w:hAnsi="Aptos"/>
                <w:color w:val="303236"/>
                <w:sz w:val="17"/>
              </w:rPr>
              <w:t>AIHE-B05; AIHE-RG05</w:t>
            </w:r>
          </w:p>
        </w:tc>
      </w:tr>
      <w:tr>
        <w:trPr>
          <w:cantSplit/>
        </w:trPr>
        <w:tc>
          <w:tcPr>
            <w:tcW w:type="dxa" w:w="2356"/>
          </w:tcPr>
          <w:p>
            <w:pPr>
              <w:spacing w:after="60" w:before="60" w:line="252" w:lineRule="auto"/>
            </w:pPr>
            <w:r>
              <w:rPr>
                <w:rFonts w:ascii="Aptos" w:hAnsi="Aptos"/>
                <w:color w:val="303236"/>
                <w:sz w:val="17"/>
              </w:rPr>
              <w:t>6. Assess governance and institutional risk</w:t>
            </w:r>
          </w:p>
        </w:tc>
        <w:tc>
          <w:tcPr>
            <w:tcW w:type="dxa" w:w="4713"/>
          </w:tcPr>
          <w:p>
            <w:pPr>
              <w:spacing w:after="60" w:before="60" w:line="252" w:lineRule="auto"/>
            </w:pPr>
            <w:r>
              <w:rPr>
                <w:rFonts w:ascii="Aptos" w:hAnsi="Aptos"/>
                <w:color w:val="303236"/>
                <w:sz w:val="17"/>
              </w:rPr>
              <w:t>Are mandatory safeguards satisfied and are residual risks explicitly owned and governable?</w:t>
            </w:r>
          </w:p>
        </w:tc>
        <w:tc>
          <w:tcPr>
            <w:tcW w:type="dxa" w:w="3299"/>
          </w:tcPr>
          <w:p>
            <w:pPr>
              <w:spacing w:after="60" w:before="60" w:line="252" w:lineRule="auto"/>
            </w:pPr>
            <w:r>
              <w:rPr>
                <w:rFonts w:ascii="Aptos" w:hAnsi="Aptos"/>
                <w:color w:val="303236"/>
                <w:sz w:val="17"/>
              </w:rPr>
              <w:t>AIHE-C03; AIHE-C04; AIHE-C05; AIHE-RG04</w:t>
            </w:r>
          </w:p>
        </w:tc>
      </w:tr>
      <w:tr>
        <w:trPr>
          <w:cantSplit/>
        </w:trPr>
        <w:tc>
          <w:tcPr>
            <w:tcW w:type="dxa" w:w="2356"/>
            <w:shd w:fill="F5F0E7" w:val="clear"/>
          </w:tcPr>
          <w:p>
            <w:pPr>
              <w:spacing w:after="60" w:before="60" w:line="252" w:lineRule="auto"/>
            </w:pPr>
            <w:r>
              <w:rPr>
                <w:rFonts w:ascii="Aptos" w:hAnsi="Aptos"/>
                <w:color w:val="303236"/>
                <w:sz w:val="17"/>
              </w:rPr>
              <w:t>7. Procure and contract</w:t>
            </w:r>
          </w:p>
        </w:tc>
        <w:tc>
          <w:tcPr>
            <w:tcW w:type="dxa" w:w="4713"/>
            <w:shd w:fill="F5F0E7" w:val="clear"/>
          </w:tcPr>
          <w:p>
            <w:pPr>
              <w:spacing w:after="60" w:before="60" w:line="252" w:lineRule="auto"/>
            </w:pPr>
            <w:r>
              <w:rPr>
                <w:rFonts w:ascii="Aptos" w:hAnsi="Aptos"/>
                <w:color w:val="303236"/>
                <w:sz w:val="17"/>
              </w:rPr>
              <w:t>Can the institution enforce the evidence, monitoring, change, continuity, and exit conditions required for safe use?</w:t>
            </w:r>
          </w:p>
        </w:tc>
        <w:tc>
          <w:tcPr>
            <w:tcW w:type="dxa" w:w="3299"/>
            <w:shd w:fill="F5F0E7" w:val="clear"/>
          </w:tcPr>
          <w:p>
            <w:pPr>
              <w:spacing w:after="60" w:before="60" w:line="252" w:lineRule="auto"/>
            </w:pPr>
            <w:r>
              <w:rPr>
                <w:rFonts w:ascii="Aptos" w:hAnsi="Aptos"/>
                <w:color w:val="303236"/>
                <w:sz w:val="17"/>
              </w:rPr>
              <w:t>AIHE-D01</w:t>
            </w:r>
          </w:p>
        </w:tc>
      </w:tr>
      <w:tr>
        <w:trPr>
          <w:cantSplit/>
        </w:trPr>
        <w:tc>
          <w:tcPr>
            <w:tcW w:type="dxa" w:w="2356"/>
          </w:tcPr>
          <w:p>
            <w:pPr>
              <w:spacing w:after="60" w:before="60" w:line="252" w:lineRule="auto"/>
            </w:pPr>
            <w:r>
              <w:rPr>
                <w:rFonts w:ascii="Aptos" w:hAnsi="Aptos"/>
                <w:color w:val="303236"/>
                <w:sz w:val="17"/>
              </w:rPr>
              <w:t>8. Implement, monitor, and control change</w:t>
            </w:r>
          </w:p>
        </w:tc>
        <w:tc>
          <w:tcPr>
            <w:tcW w:type="dxa" w:w="4713"/>
          </w:tcPr>
          <w:p>
            <w:pPr>
              <w:spacing w:after="60" w:before="60" w:line="252" w:lineRule="auto"/>
            </w:pPr>
            <w:r>
              <w:rPr>
                <w:rFonts w:ascii="Aptos" w:hAnsi="Aptos"/>
                <w:color w:val="303236"/>
                <w:sz w:val="17"/>
              </w:rPr>
              <w:t>Does real-world use remain within approved performance, safety, workload, equity, cost, and governance conditions?</w:t>
            </w:r>
          </w:p>
        </w:tc>
        <w:tc>
          <w:tcPr>
            <w:tcW w:type="dxa" w:w="3299"/>
          </w:tcPr>
          <w:p>
            <w:pPr>
              <w:spacing w:after="60" w:before="60" w:line="252" w:lineRule="auto"/>
            </w:pPr>
            <w:r>
              <w:rPr>
                <w:rFonts w:ascii="Aptos" w:hAnsi="Aptos"/>
                <w:color w:val="303236"/>
                <w:sz w:val="17"/>
              </w:rPr>
              <w:t>AIHE-D02; AIHE-D03; AIHE-D04; AIHE-D05; AIHE-RG03</w:t>
            </w:r>
          </w:p>
        </w:tc>
      </w:tr>
      <w:tr>
        <w:trPr>
          <w:cantSplit/>
        </w:trPr>
        <w:tc>
          <w:tcPr>
            <w:tcW w:type="dxa" w:w="2356"/>
            <w:shd w:fill="F5F0E7" w:val="clear"/>
          </w:tcPr>
          <w:p>
            <w:pPr>
              <w:spacing w:after="60" w:before="60" w:line="252" w:lineRule="auto"/>
            </w:pPr>
            <w:r>
              <w:rPr>
                <w:rFonts w:ascii="Aptos" w:hAnsi="Aptos"/>
                <w:color w:val="303236"/>
                <w:sz w:val="17"/>
              </w:rPr>
              <w:t>9. Reassess continuing value, affordability, and support</w:t>
            </w:r>
          </w:p>
        </w:tc>
        <w:tc>
          <w:tcPr>
            <w:tcW w:type="dxa" w:w="4713"/>
            <w:shd w:fill="F5F0E7" w:val="clear"/>
          </w:tcPr>
          <w:p>
            <w:pPr>
              <w:spacing w:after="60" w:before="60" w:line="252" w:lineRule="auto"/>
            </w:pPr>
            <w:r>
              <w:rPr>
                <w:rFonts w:ascii="Aptos" w:hAnsi="Aptos"/>
                <w:color w:val="303236"/>
                <w:sz w:val="17"/>
              </w:rPr>
              <w:t>Does continuing use remain justified, affordable, supportable, and preferable to current alternatives without compromising mandatory safeguards?</w:t>
            </w:r>
          </w:p>
        </w:tc>
        <w:tc>
          <w:tcPr>
            <w:tcW w:type="dxa" w:w="3299"/>
            <w:shd w:fill="F5F0E7" w:val="clear"/>
          </w:tcPr>
          <w:p>
            <w:pPr>
              <w:spacing w:after="60" w:before="60" w:line="252" w:lineRule="auto"/>
            </w:pPr>
            <w:r>
              <w:rPr>
                <w:rFonts w:ascii="Aptos" w:hAnsi="Aptos"/>
                <w:color w:val="303236"/>
                <w:sz w:val="17"/>
              </w:rPr>
              <w:t>AIHE-B02; AIHE-B03; AIHE-B04; AIHE-D01; AIHE-D05</w:t>
            </w:r>
          </w:p>
        </w:tc>
      </w:tr>
      <w:tr>
        <w:trPr>
          <w:cantSplit/>
        </w:trPr>
        <w:tc>
          <w:tcPr>
            <w:tcW w:type="dxa" w:w="2356"/>
          </w:tcPr>
          <w:p>
            <w:pPr>
              <w:spacing w:after="60" w:before="60" w:line="252" w:lineRule="auto"/>
            </w:pPr>
            <w:r>
              <w:rPr>
                <w:rFonts w:ascii="Aptos" w:hAnsi="Aptos"/>
                <w:color w:val="303236"/>
                <w:sz w:val="17"/>
              </w:rPr>
              <w:t>10. Assemble the decision record and renew or retire</w:t>
            </w:r>
          </w:p>
        </w:tc>
        <w:tc>
          <w:tcPr>
            <w:tcW w:type="dxa" w:w="4713"/>
          </w:tcPr>
          <w:p>
            <w:pPr>
              <w:spacing w:after="60" w:before="60" w:line="252" w:lineRule="auto"/>
            </w:pPr>
            <w:r>
              <w:rPr>
                <w:rFonts w:ascii="Aptos" w:hAnsi="Aptos"/>
                <w:color w:val="303236"/>
                <w:sz w:val="17"/>
              </w:rPr>
              <w:t>Is continuing use still preferable to redesign, restriction, replacement, or retirement under current evidence and alternatives?</w:t>
            </w:r>
          </w:p>
        </w:tc>
        <w:tc>
          <w:tcPr>
            <w:tcW w:type="dxa" w:w="3299"/>
          </w:tcPr>
          <w:p>
            <w:pPr>
              <w:spacing w:after="60" w:before="60" w:line="252" w:lineRule="auto"/>
            </w:pPr>
            <w:r>
              <w:rPr>
                <w:rFonts w:ascii="Aptos" w:hAnsi="Aptos"/>
                <w:color w:val="303236"/>
                <w:sz w:val="17"/>
              </w:rPr>
              <w:t>AIHE-D02; AIHE-D05; AIHE-P; AIHE-AE</w:t>
            </w:r>
          </w:p>
        </w:tc>
      </w:tr>
    </w:tbl>
    <w:p>
      <w:pPr>
        <w:pStyle w:val="Heading1"/>
        <w:pageBreakBefore/>
      </w:pPr>
      <w:r>
        <w:t>Worked examples and computational resources</w:t>
      </w:r>
    </w:p>
    <w:p>
      <w:r>
        <w:t>The sixteen worked examples and AIHE-CASE00 common method connect service problems with evidence, economics, governance, implementation, monitoring, and lifecycle decisions. Their scenarios and demonstration datasets are synthetic unless explicitly stated; they are not empirical evidence for a local decision.</w:t>
      </w:r>
    </w:p>
    <w:p>
      <w:r>
        <w:t>The Canonical Source contains thirty-six Python analytical modules. Supplementary worked cases address financial recognition and budget incidence, the expected value of additional evidence, and upstream model-provider change. Method choice, versioned inputs, verification, validation, and expert interpretation remain necessary.</w:t>
      </w:r>
    </w:p>
    <w:p>
      <w:pPr>
        <w:pStyle w:val="Heading1"/>
      </w:pPr>
      <w:r>
        <w:t>Version control and responsible use</w:t>
      </w:r>
    </w:p>
    <w:p>
      <w:pPr>
        <w:pStyle w:val="ListBullet"/>
      </w:pPr>
      <w:r>
        <w:t>Record the stable identifier, exact resource version, release date, access date, evidence cut-off, intervention version, and local modifications.</w:t>
      </w:r>
    </w:p>
    <w:p>
      <w:pPr>
        <w:pStyle w:val="ListBullet"/>
      </w:pPr>
      <w:r>
        <w:t>Preserve the exact data, code, environment, assumptions, and outputs used in consequential analysis. Verify the currency of law, standards, software, and supplier information before reliance.</w:t>
      </w:r>
    </w:p>
    <w:p>
      <w:pPr>
        <w:pStyle w:val="ListBullet"/>
      </w:pPr>
      <w:r>
        <w:t>A completed form, score, or model result does not authorize use. Mandatory safeguards remain non-compensatory, and consequential transitions require accountable human authority.</w:t>
      </w:r>
    </w:p>
    <w:p>
      <w:pPr>
        <w:pStyle w:val="ListBullet"/>
      </w:pPr>
      <w:r>
        <w:t>Do not enter patient identifiers, credentials, private keys, confidential contracts, or restricted institutional information into public demonstrations or uncontrolled files.</w:t>
      </w:r>
    </w:p>
    <w:p>
      <w:pPr>
        <w:pStyle w:val="ListBullet"/>
      </w:pPr>
      <w:r>
        <w:t>Maintain a credible route for restriction, rollback, replacement, retirement, and responsible closure.</w:t>
      </w:r>
    </w:p>
    <w:p>
      <w:r>
        <w:t>The companion is an author-developed educational and institutional decision-support collection. It does not replace clinical, legal, regulatory, ethical, privacy, cybersecurity, procurement, accreditation, accounting, financial, or health technology assessment review.</w:t>
      </w:r>
    </w:p>
    <w:p>
      <w:pPr>
        <w:pStyle w:val="Heading1"/>
      </w:pPr>
      <w:r>
        <w:t>Access and citation</w:t>
      </w:r>
    </w:p>
    <w:tbl>
      <w:tblPr>
        <w:tblW w:type="auto" w:w="0"/>
        <w:tblLayout w:type="fixed"/>
        <w:tblLook w:firstColumn="1" w:firstRow="1" w:lastColumn="0" w:lastRow="0" w:noHBand="0" w:noVBand="1" w:val="04A0"/>
        <w:tblBorders>
          <w:top w:val="single" w:sz="4" w:color="D9D0C2"/>
          <w:left w:val="single" w:sz="4" w:color="D9D0C2"/>
          <w:bottom w:val="single" w:sz="4" w:color="D9D0C2"/>
          <w:right w:val="single" w:sz="4" w:color="D9D0C2"/>
          <w:insideH w:val="single" w:sz="4" w:color="D9D0C2"/>
          <w:insideV w:val="single" w:sz="4" w:color="D9D0C2"/>
        </w:tblBorders>
        <w:tblCellMar>
          <w:top w:w="80" w:type="dxa"/>
          <w:left w:w="80" w:type="dxa"/>
          <w:bottom w:w="80" w:type="dxa"/>
          <w:right w:w="80" w:type="dxa"/>
        </w:tblCellMar>
      </w:tblPr>
      <w:tblGrid>
        <w:gridCol w:w="5184"/>
        <w:gridCol w:w="5184"/>
      </w:tblGrid>
      <w:tr>
        <w:trPr>
          <w:tblHeader/>
          <w:cantSplit/>
        </w:trPr>
        <w:tc>
          <w:tcPr>
            <w:tcW w:type="dxa" w:w="5184"/>
            <w:shd w:fill="6B2230" w:val="clear"/>
          </w:tcPr>
          <w:p>
            <w:pPr>
              <w:spacing w:after="60" w:before="60"/>
            </w:pPr>
            <w:r>
              <w:rPr>
                <w:rFonts w:ascii="Aptos" w:hAnsi="Aptos"/>
                <w:b/>
                <w:color w:val="FFFFFF"/>
                <w:sz w:val="17"/>
              </w:rPr>
              <w:t>Resource</w:t>
            </w:r>
          </w:p>
        </w:tc>
        <w:tc>
          <w:tcPr>
            <w:tcW w:type="dxa" w:w="5184"/>
            <w:shd w:fill="6B2230" w:val="clear"/>
          </w:tcPr>
          <w:p>
            <w:pPr>
              <w:spacing w:after="60" w:before="60"/>
            </w:pPr>
            <w:r>
              <w:rPr>
                <w:rFonts w:ascii="Aptos" w:hAnsi="Aptos"/>
                <w:b/>
                <w:color w:val="FFFFFF"/>
                <w:sz w:val="17"/>
              </w:rPr>
              <w:t>Address</w:t>
            </w:r>
          </w:p>
        </w:tc>
      </w:tr>
      <w:tr>
        <w:trPr>
          <w:cantSplit/>
        </w:trPr>
        <w:tc>
          <w:tcPr>
            <w:tcW w:type="dxa" w:w="5184"/>
            <w:shd w:fill="F5F0E7" w:val="clear"/>
          </w:tcPr>
          <w:p>
            <w:pPr>
              <w:spacing w:after="60" w:before="60" w:line="252" w:lineRule="auto"/>
            </w:pPr>
            <w:r>
              <w:rPr>
                <w:rFonts w:ascii="Aptos" w:hAnsi="Aptos"/>
                <w:color w:val="303236"/>
                <w:sz w:val="17"/>
              </w:rPr>
              <w:t>Persistent companion record (Concept DOI identified in the book)</w:t>
            </w:r>
          </w:p>
        </w:tc>
        <w:tc>
          <w:tcPr>
            <w:tcW w:type="dxa" w:w="5184"/>
            <w:shd w:fill="F5F0E7" w:val="clear"/>
          </w:tcPr>
          <w:p>
            <w:pPr>
              <w:spacing w:after="60" w:before="60" w:line="252" w:lineRule="auto"/>
            </w:pPr>
            <w:r>
              <w:rPr>
                <w:rFonts w:ascii="Aptos" w:hAnsi="Aptos"/>
                <w:color w:val="303236"/>
                <w:sz w:val="17"/>
              </w:rPr>
              <w:t>https://doi.org/10.5281/zenodo.21753927</w:t>
            </w:r>
          </w:p>
        </w:tc>
      </w:tr>
      <w:tr>
        <w:trPr>
          <w:cantSplit/>
        </w:trPr>
        <w:tc>
          <w:tcPr>
            <w:tcW w:type="dxa" w:w="5184"/>
          </w:tcPr>
          <w:p>
            <w:pPr>
              <w:spacing w:after="60" w:before="60" w:line="252" w:lineRule="auto"/>
            </w:pPr>
            <w:r>
              <w:rPr>
                <w:rFonts w:ascii="Aptos" w:hAnsi="Aptos"/>
                <w:color w:val="303236"/>
                <w:sz w:val="17"/>
              </w:rPr>
              <w:t>Canonical repository recorded in the source package</w:t>
            </w:r>
          </w:p>
        </w:tc>
        <w:tc>
          <w:tcPr>
            <w:tcW w:type="dxa" w:w="5184"/>
          </w:tcPr>
          <w:p>
            <w:pPr>
              <w:spacing w:after="60" w:before="60" w:line="252" w:lineRule="auto"/>
            </w:pPr>
            <w:r>
              <w:rPr>
                <w:rFonts w:ascii="Aptos" w:hAnsi="Aptos"/>
                <w:color w:val="303236"/>
                <w:sz w:val="17"/>
              </w:rPr>
              <w:t>https://github.com/ai-healthcare-management-economics/digital-resource-companion</w:t>
            </w:r>
          </w:p>
        </w:tc>
      </w:tr>
      <w:tr>
        <w:trPr>
          <w:cantSplit/>
        </w:trPr>
        <w:tc>
          <w:tcPr>
            <w:tcW w:type="dxa" w:w="5184"/>
            <w:shd w:fill="F5F0E7" w:val="clear"/>
          </w:tcPr>
          <w:p>
            <w:pPr>
              <w:spacing w:after="60" w:before="60" w:line="252" w:lineRule="auto"/>
            </w:pPr>
            <w:r>
              <w:rPr>
                <w:rFonts w:ascii="Aptos" w:hAnsi="Aptos"/>
                <w:color w:val="303236"/>
                <w:sz w:val="17"/>
              </w:rPr>
              <w:t>Web Companion recorded in the source package</w:t>
            </w:r>
          </w:p>
        </w:tc>
        <w:tc>
          <w:tcPr>
            <w:tcW w:type="dxa" w:w="5184"/>
            <w:shd w:fill="F5F0E7" w:val="clear"/>
          </w:tcPr>
          <w:p>
            <w:pPr>
              <w:spacing w:after="60" w:before="60" w:line="252" w:lineRule="auto"/>
            </w:pPr>
            <w:r>
              <w:rPr>
                <w:rFonts w:ascii="Aptos" w:hAnsi="Aptos"/>
                <w:color w:val="303236"/>
                <w:sz w:val="17"/>
              </w:rPr>
              <w:t>https://ai-healthcare-management-economics.github.io/digital-resource-companion/</w:t>
            </w:r>
          </w:p>
        </w:tc>
      </w:tr>
    </w:tbl>
    <w:p>
      <w:r>
        <w:t>This package is V1.0. The persistent record is not a newly assigned version-specific DOI. When the package is published, cite the version-specific DOI shown on that archived release and retain the exact resource identifier and local changes.</w:t>
      </w:r>
    </w:p>
    <w:sectPr>
      <w:headerReference w:type="default" r:id="rId9"/>
      <w:footerReference w:type="default" r:id="rId10"/>
      <w:pgSz w:w="12240" w:h="15840"/>
      <w:pgMar w:top="936" w:right="936" w:bottom="864" w:left="936" w:header="403"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877567"/>
        <w:sz w:val="16"/>
      </w:rPr>
      <w:t xml:space="preserve">Muthana Zouri · Carmen Marinela Cumpăt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B2230"/>
        <w:sz w:val="16"/>
      </w:rPr>
      <w:t>DIGITAL RESOURCE COMPANION ·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mbria" w:hAnsi="Cambr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w:hAnsi="Aptos"/>
      <w:b/>
      <w:bCs/>
      <w:color w:val="6B2230"/>
      <w:sz w:val="4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w:hAnsi="Aptos"/>
      <w:b/>
      <w:bCs/>
      <w:color w:val="303236"/>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ptos" w:hAnsi="Aptos"/>
      <w:b/>
      <w:bCs/>
      <w:color w:val="6B223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keepNext/>
      <w:pBdr>
        <w:bottom w:val="single" w:sz="8" w:space="4" w:color="877567" w:themeColor="accent1"/>
      </w:pBdr>
      <w:spacing w:after="120" w:line="240" w:lineRule="auto" w:before="240"/>
      <w:contextualSpacing/>
    </w:pPr>
    <w:rPr>
      <w:rFonts w:asciiTheme="majorHAnsi" w:eastAsiaTheme="majorEastAsia" w:hAnsiTheme="majorHAnsi" w:cstheme="majorBidi" w:ascii="Aptos" w:hAnsi="Aptos"/>
      <w:b/>
      <w:color w:val="6B223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40" w:after="120"/>
    </w:pPr>
    <w:rPr>
      <w:rFonts w:asciiTheme="majorHAnsi" w:eastAsiaTheme="majorEastAsia" w:hAnsiTheme="majorHAnsi" w:cstheme="majorBidi" w:ascii="Aptos" w:hAnsi="Aptos"/>
      <w:b w:val="0"/>
      <w:i/>
      <w:iCs/>
      <w:color w:val="303236"/>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877567"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303236"/>
      <w:u w:val="single"/>
    </w:rPr>
  </w:style>
  <w:style w:type="character" w:styleId="IntenseReference">
    <w:name w:val="Intense Reference"/>
    <w:basedOn w:val="DefaultParagraphFont"/>
    <w:uiPriority w:val="32"/>
    <w:qFormat/>
    <w:rsid w:val="00FC693F"/>
    <w:rPr>
      <w:b/>
      <w:bCs/>
      <w:smallCaps/>
      <w:color w:val="303236"/>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la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30323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30323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30323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77567"/>
      </w:tcPr>
    </w:tblStylePr>
    <w:tblStylePr w:type="lastRow">
      <w:pPr>
        <w:spacing w:before="0" w:after="0" w:line="240" w:lineRule="auto"/>
      </w:pPr>
      <w:rPr>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tcBorders>
      </w:tcPr>
    </w:tblStylePr>
    <w:tblStylePr w:type="firstCol">
      <w:rPr>
        <w:b/>
        <w:bCs/>
      </w:rPr>
    </w:tblStylePr>
    <w:tblStylePr w:type="lastCol">
      <w:rPr>
        <w:b/>
        <w:bCs/>
      </w:r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18" w:space="0" w:color="877567" w:themeColor="accent1"/>
          <w:right w:val="single" w:sz="8" w:space="0" w:color="877567" w:themeColor="accent1"/>
          <w:insideH w:val="nil"/>
          <w:insideV w:val="single" w:sz="8" w:space="0" w:color="877567"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insideH w:val="nil"/>
          <w:insideV w:val="single" w:sz="8" w:space="0" w:color="877567"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shd w:val="clear" w:color="auto" w:fill="F5F0E7"/>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shd w:val="clear" w:color="auto" w:fill="F5F0E7"/>
      </w:tcPr>
    </w:tblStylePr>
    <w:tblStylePr w:type="band2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877567"/>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7756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77567"/>
      </w:tcPr>
    </w:tblStylePr>
    <w:tblStylePr w:type="lastCol">
      <w:rPr>
        <w:b/>
        <w:bCs/>
        <w:color w:val="FFFFFF"/>
      </w:rPr>
      <w:tblPr/>
      <w:tcPr>
        <w:tcBorders>
          <w:left w:val="nil"/>
          <w:right w:val="nil"/>
          <w:insideH w:val="nil"/>
          <w:insideV w:val="nil"/>
        </w:tcBorders>
        <w:shd w:val="clear" w:color="auto" w:fill="87756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77567" w:themeColor="accent1"/>
        </w:tcBorders>
      </w:tcPr>
    </w:tblStylePr>
    <w:tblStylePr w:type="lastRow">
      <w:rPr>
        <w:b/>
        <w:bCs/>
        <w:color w:val="303236"/>
      </w:rPr>
      <w:tblPr/>
      <w:tcPr>
        <w:tcBorders>
          <w:top w:val="single" w:sz="8" w:space="0" w:color="877567" w:themeColor="accent1"/>
          <w:bottom w:val="single" w:sz="8" w:space="0" w:color="877567" w:themeColor="accent1"/>
        </w:tcBorders>
      </w:tcPr>
    </w:tblStylePr>
    <w:tblStylePr w:type="firstCol">
      <w:rPr>
        <w:b/>
        <w:bCs/>
      </w:rPr>
    </w:tblStylePr>
    <w:tblStylePr w:type="lastCol">
      <w:rPr>
        <w:b/>
        <w:bCs/>
      </w:rPr>
      <w:tblPr/>
      <w:tcPr>
        <w:tcBorders>
          <w:top w:val="single" w:sz="8" w:space="0" w:color="877567" w:themeColor="accent1"/>
          <w:bottom w:val="single" w:sz="8" w:space="0" w:color="877567"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877567" w:themeColor="accent1"/>
          <w:right w:val="nil"/>
          <w:insideH w:val="nil"/>
          <w:insideV w:val="nil"/>
        </w:tcBorders>
        <w:shd w:val="clear" w:color="auto" w:fill="FFFFFF"/>
      </w:tcPr>
    </w:tblStylePr>
    <w:tblStylePr w:type="lastRow">
      <w:tblPr/>
      <w:tcPr>
        <w:tcBorders>
          <w:top w:val="single" w:sz="8" w:space="0" w:color="877567"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877567" w:themeColor="accent1"/>
          <w:insideH w:val="nil"/>
          <w:insideV w:val="nil"/>
        </w:tcBorders>
        <w:shd w:val="clear" w:color="auto" w:fill="FFFFFF"/>
      </w:tcPr>
    </w:tblStylePr>
    <w:tblStylePr w:type="lastCol">
      <w:tblPr/>
      <w:tcPr>
        <w:tcBorders>
          <w:top w:val="nil"/>
          <w:left w:val="single" w:sz="8" w:space="0" w:color="877567"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77567" w:themeColor="accent1"/>
          <w:insideV w:val="single" w:sz="6" w:space="0" w:color="877567"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77567"/>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77567"/>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77567"/>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877567"/>
      </w:tcPr>
    </w:tblStylePr>
    <w:tblStylePr w:type="lastCol">
      <w:tblPr/>
      <w:tcPr>
        <w:tcBorders>
          <w:top w:val="nil"/>
          <w:left w:val="single" w:sz="18" w:space="0" w:color="FFFFFF" w:themeColor="background1"/>
          <w:bottom w:val="nil"/>
          <w:right w:val="nil"/>
          <w:insideH w:val="nil"/>
          <w:insideV w:val="nil"/>
        </w:tcBorders>
        <w:shd w:val="clear" w:color="auto" w:fill="877567"/>
      </w:tcPr>
    </w:tblStylePr>
    <w:tblStylePr w:type="band1Vert">
      <w:tblPr/>
      <w:tcPr>
        <w:tcBorders>
          <w:top w:val="nil"/>
          <w:left w:val="nil"/>
          <w:bottom w:val="nil"/>
          <w:right w:val="nil"/>
          <w:insideH w:val="nil"/>
          <w:insideV w:val="nil"/>
        </w:tcBorders>
        <w:shd w:val="clear" w:color="auto" w:fill="877567"/>
      </w:tcPr>
    </w:tblStylePr>
    <w:tblStylePr w:type="band1Horz">
      <w:tblPr/>
      <w:tcPr>
        <w:tcBorders>
          <w:top w:val="nil"/>
          <w:left w:val="nil"/>
          <w:bottom w:val="nil"/>
          <w:right w:val="nil"/>
          <w:insideH w:val="nil"/>
          <w:insideV w:val="nil"/>
        </w:tcBorders>
        <w:shd w:val="clear" w:color="auto" w:fill="877567"/>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877567" w:themeColor="accent1"/>
        <w:bottom w:val="single" w:sz="4" w:space="0" w:color="877567" w:themeColor="accent1"/>
        <w:right w:val="single" w:sz="4" w:space="0" w:color="877567"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877567"/>
      </w:tcPr>
    </w:tblStylePr>
    <w:tblStylePr w:type="lastCol">
      <w:rPr>
        <w:color w:val="FFFFFF"/>
      </w:rPr>
      <w:tblPr/>
      <w:tcPr>
        <w:shd w:val="clear" w:color="auto" w:fill="877567"/>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032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0323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032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30323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5F0E7"/>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5F0E7"/>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6B2230"/>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303236"/>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F81BD" w:themeColor="accent1"/>
          <w:insideV w:val="single" w:sz="6" w:space="0" w:color="4F81BD"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7E9C4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F2730A"/>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303236"/>
      </a:dk2>
      <a:lt2>
        <a:srgbClr val="F5F0E7"/>
      </a:lt2>
      <a:accent1>
        <a:srgbClr val="6B2230"/>
      </a:accent1>
      <a:accent2>
        <a:srgbClr val="BDA477"/>
      </a:accent2>
      <a:accent3>
        <a:srgbClr val="877567"/>
      </a:accent3>
      <a:accent4>
        <a:srgbClr val="303236"/>
      </a:accent4>
      <a:accent5>
        <a:srgbClr val="A36570"/>
      </a:accent5>
      <a:accent6>
        <a:srgbClr val="DDD0B7"/>
      </a:accent6>
      <a:hlink>
        <a:srgbClr val="6B2230"/>
      </a:hlink>
      <a:folHlink>
        <a:srgbClr val="877567"/>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Application/>
</Properties>
</file>

<file path=docProps/core.xml><?xml version="1.0" encoding="utf-8"?>
<cp:coreProperties xmlns:cp="http://schemas.openxmlformats.org/package/2006/metadata/core-properties" xmlns:dc="http://purl.org/dc/elements/1.1/" xmlns:dcterms="http://purl.org/dc/terms/" xmlns:xsi="http://www.w3.org/2001/XMLSchema-instance">
  <dc:title>Digital Resource Companion: Start Here</dc:title>
  <dc:subject>Healthcare management, economics, evidence, and lifecycle governance</dc:subject>
  <dc:creator>Muthana Zouri; Carmen Marinela Cumpăt</dc:creator>
  <cp:lastModifiedBy/>
  <cp:revision>1</cp:revision>
  <dc:description>Developed and maintained independently by Muthana Zouri and Carmen Marinela Cumpăt.</dc:description>
</cp:coreProperties>
</file>