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Aptos" w:hAnsi="Aptos"/>
          <w:color w:val="6B2230"/>
          <w:sz w:val="24"/>
        </w:rPr>
        <w:t>Artificial Intelligence in Healthcare Management and Economics</w:t>
      </w:r>
    </w:p>
    <w:p>
      <w:pPr>
        <w:spacing w:after="80"/>
      </w:pPr>
      <w:r>
        <w:rPr>
          <w:rFonts w:ascii="Aptos" w:hAnsi="Aptos"/>
          <w:color w:val="877567"/>
          <w:sz w:val="18"/>
        </w:rPr>
        <w:t>Part I — Managerial and Economic Foundations</w:t>
      </w:r>
    </w:p>
    <w:p>
      <w:pPr>
        <w:pStyle w:val="Heading1"/>
      </w:pPr>
      <w:r>
        <w:t>AIHE-A03 — Institutional Readiness Assessment</w:t>
      </w:r>
    </w:p>
    <w:p>
      <w:pPr>
        <w:spacing w:after="80"/>
      </w:pPr>
      <w:r>
        <w:rPr>
          <w:color w:val="877567"/>
          <w:sz w:val="20"/>
        </w:rPr>
        <w:t>Chapter 2: Institutional Readiness and Digital Foundations</w:t>
      </w:r>
    </w:p>
    <w:p>
      <w:r>
        <w:t>Assess strategic, data, infrastructure, workflow, workforce, quality, economic, governance, procurement, and continuing support readiness.</w:t>
      </w:r>
    </w:p>
    <w:p>
      <w:r>
        <w:rPr>
          <w:rFonts w:ascii="Aptos" w:hAnsi="Aptos"/>
          <w:sz w:val="17"/>
        </w:rPr>
        <w:t>Resource: AIHE-A03  |  V1.0  |  Aligned chapters: 2, 4, 5, 9, 10, 12</w:t>
      </w:r>
    </w:p>
    <w:p>
      <w:r>
        <w:t>Assess each domain separately as Ready, Remediation required, Uncertain, or Not applicable, supported by evidence and a named owner. Do not infer overall readiness from an average or allow a favourable finding to offset a mandatory safeguard.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0C2"/>
          <w:left w:val="single" w:sz="4" w:color="D9D0C2"/>
          <w:bottom w:val="single" w:sz="4" w:color="D9D0C2"/>
          <w:right w:val="single" w:sz="4" w:color="D9D0C2"/>
          <w:insideH w:val="single" w:sz="4" w:color="D9D0C2"/>
          <w:insideV w:val="single" w:sz="4" w:color="D9D0C2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2818"/>
        <w:gridCol w:w="4411"/>
        <w:gridCol w:w="2451"/>
        <w:gridCol w:w="4288"/>
      </w:tblGrid>
      <w:tr>
        <w:trPr>
          <w:tblHeader/>
          <w:cantSplit/>
        </w:trPr>
        <w:tc>
          <w:tcPr>
            <w:tcW w:type="dxa" w:w="2818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Domain</w:t>
            </w:r>
          </w:p>
        </w:tc>
        <w:tc>
          <w:tcPr>
            <w:tcW w:type="dxa" w:w="4411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Assessment question</w:t>
            </w:r>
          </w:p>
        </w:tc>
        <w:tc>
          <w:tcPr>
            <w:tcW w:type="dxa" w:w="2451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288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Evidence, gap, prerequisite, and owner</w:t>
            </w:r>
          </w:p>
        </w:tc>
      </w:tr>
      <w:tr>
        <w:trPr>
          <w:cantSplit/>
        </w:trPr>
        <w:tc>
          <w:tcPr>
            <w:tcW w:type="dxa" w:w="281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Strategic alignment</w:t>
            </w:r>
          </w:p>
        </w:tc>
        <w:tc>
          <w:tcPr>
            <w:tcW w:type="dxa" w:w="441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Is the problem linked to documented health-system priorities and realistic alternatives?</w:t>
            </w:r>
          </w:p>
        </w:tc>
        <w:tc>
          <w:tcPr>
            <w:tcW w:type="dxa" w:w="245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42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281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Data fitness</w:t>
            </w:r>
          </w:p>
        </w:tc>
        <w:tc>
          <w:tcPr>
            <w:tcW w:type="dxa" w:w="441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Are required data lawful, available, timely, representative, traceable, and sustainable?</w:t>
            </w:r>
          </w:p>
        </w:tc>
        <w:tc>
          <w:tcPr>
            <w:tcW w:type="dxa" w:w="245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42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281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Interoperability</w:t>
            </w:r>
          </w:p>
        </w:tc>
        <w:tc>
          <w:tcPr>
            <w:tcW w:type="dxa" w:w="441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Can inputs and outputs be exchanged and interpreted consistently within the decision window?</w:t>
            </w:r>
          </w:p>
        </w:tc>
        <w:tc>
          <w:tcPr>
            <w:tcW w:type="dxa" w:w="245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42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281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Infrastructure and resilience</w:t>
            </w:r>
          </w:p>
        </w:tc>
        <w:tc>
          <w:tcPr>
            <w:tcW w:type="dxa" w:w="441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Are identity, access, compute, storage, interfaces, logging, fallback, and recovery adequate?</w:t>
            </w:r>
          </w:p>
        </w:tc>
        <w:tc>
          <w:tcPr>
            <w:tcW w:type="dxa" w:w="245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42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281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Workflow and downstream capacity</w:t>
            </w:r>
          </w:p>
        </w:tc>
        <w:tc>
          <w:tcPr>
            <w:tcW w:type="dxa" w:w="441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Can users interpret the output and take the intended action without shifting unsafe burden?</w:t>
            </w:r>
          </w:p>
        </w:tc>
        <w:tc>
          <w:tcPr>
            <w:tcW w:type="dxa" w:w="245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42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281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Workforce capability</w:t>
            </w:r>
          </w:p>
        </w:tc>
        <w:tc>
          <w:tcPr>
            <w:tcW w:type="dxa" w:w="441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Are roles, training, competency, supervision, and professional responsibilities defined?</w:t>
            </w:r>
          </w:p>
        </w:tc>
        <w:tc>
          <w:tcPr>
            <w:tcW w:type="dxa" w:w="245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42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281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Quality and accreditation</w:t>
            </w:r>
          </w:p>
        </w:tc>
        <w:tc>
          <w:tcPr>
            <w:tcW w:type="dxa" w:w="441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Are controls, indicators, evidence, incident processes, and improvement responsibilities integrated?</w:t>
            </w:r>
          </w:p>
        </w:tc>
        <w:tc>
          <w:tcPr>
            <w:tcW w:type="dxa" w:w="245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42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281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Economics and affordability</w:t>
            </w:r>
          </w:p>
        </w:tc>
        <w:tc>
          <w:tcPr>
            <w:tcW w:type="dxa" w:w="441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Are lifecycle costs, resource constraints, benefits, uncertainty, and budget exposure understood?</w:t>
            </w:r>
          </w:p>
        </w:tc>
        <w:tc>
          <w:tcPr>
            <w:tcW w:type="dxa" w:w="245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42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281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Governance and assurance</w:t>
            </w:r>
          </w:p>
        </w:tc>
        <w:tc>
          <w:tcPr>
            <w:tcW w:type="dxa" w:w="441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Are decision rights, safeguards, independent review, monitoring, and authority to stop defined?</w:t>
            </w:r>
          </w:p>
        </w:tc>
        <w:tc>
          <w:tcPr>
            <w:tcW w:type="dxa" w:w="245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42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281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Procurement and vendor readiness</w:t>
            </w:r>
          </w:p>
        </w:tc>
        <w:tc>
          <w:tcPr>
            <w:tcW w:type="dxa" w:w="441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Can evidence, audit, updates, data rights, support, pricing, portability, and exit be contracted?</w:t>
            </w:r>
          </w:p>
        </w:tc>
        <w:tc>
          <w:tcPr>
            <w:tcW w:type="dxa" w:w="245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42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281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Continuing support and service sustainability</w:t>
            </w:r>
          </w:p>
        </w:tc>
        <w:tc>
          <w:tcPr>
            <w:tcW w:type="dxa" w:w="441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Are support, maintenance, infrastructure dependencies, continuity, replacement, residual value, and exit considered where material?</w:t>
            </w:r>
          </w:p>
        </w:tc>
        <w:tc>
          <w:tcPr>
            <w:tcW w:type="dxa" w:w="245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42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</w:tbl>
    <w:p>
      <w:r>
        <w:rPr>
          <w:rFonts w:ascii="Aptos" w:hAnsi="Aptos"/>
          <w:sz w:val="16"/>
        </w:rPr>
        <w:t>Local record control: owner __________________  evidence cut-off __________  next review __________  local version __________</w:t>
      </w:r>
    </w:p>
    <w:p>
      <w:pPr>
        <w:pageBreakBefore/>
        <w:spacing w:after="80"/>
      </w:pPr>
      <w:r>
        <w:rPr>
          <w:rFonts w:ascii="Aptos" w:hAnsi="Aptos"/>
          <w:color w:val="877567"/>
          <w:sz w:val="18"/>
        </w:rPr>
        <w:t>Part I — Managerial and Economic Foundations</w:t>
      </w:r>
    </w:p>
    <w:p>
      <w:pPr>
        <w:pStyle w:val="Heading1"/>
      </w:pPr>
      <w:r>
        <w:t>AIHE-A03 — Institutional Readiness Assessment</w:t>
      </w:r>
    </w:p>
    <w:p>
      <w:pPr>
        <w:spacing w:after="80"/>
      </w:pPr>
      <w:r>
        <w:rPr>
          <w:color w:val="877567"/>
          <w:sz w:val="20"/>
        </w:rPr>
        <w:t>Chapter 2: Institutional Readiness and Digital Foundations</w:t>
      </w:r>
    </w:p>
    <w:p>
      <w:r>
        <w:t>Assess strategic, data, infrastructure, workflow, workforce, quality, economic, governance, procurement, and continuing support readiness.</w:t>
      </w:r>
    </w:p>
    <w:p>
      <w:r>
        <w:rPr>
          <w:rFonts w:ascii="Aptos" w:hAnsi="Aptos"/>
          <w:sz w:val="17"/>
        </w:rPr>
        <w:t>Resource: AIHE-A03  |  V1.0  |  Aligned chapters: 2, 4, 5, 9, 10, 12</w:t>
      </w:r>
    </w:p>
    <w:p>
      <w:r>
        <w:t>Assess each domain separately as Ready, Remediation required, Uncertain, or Not applicable, supported by evidence and a named owner. Do not infer overall readiness from an average or allow a favourable finding to offset a mandatory safeguard.</w:t>
      </w:r>
    </w:p>
    <w:p>
      <w:pPr>
        <w:pStyle w:val="Heading2"/>
      </w:pPr>
      <w:r>
        <w:t>Synthetic illustration — not empirical evidence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0C2"/>
          <w:left w:val="single" w:sz="4" w:color="D9D0C2"/>
          <w:bottom w:val="single" w:sz="4" w:color="D9D0C2"/>
          <w:right w:val="single" w:sz="4" w:color="D9D0C2"/>
          <w:insideH w:val="single" w:sz="4" w:color="D9D0C2"/>
          <w:insideV w:val="single" w:sz="4" w:color="D9D0C2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2818"/>
        <w:gridCol w:w="4411"/>
        <w:gridCol w:w="2451"/>
        <w:gridCol w:w="4288"/>
      </w:tblGrid>
      <w:tr>
        <w:trPr>
          <w:tblHeader/>
          <w:cantSplit/>
        </w:trPr>
        <w:tc>
          <w:tcPr>
            <w:tcW w:type="dxa" w:w="2818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Domain</w:t>
            </w:r>
          </w:p>
        </w:tc>
        <w:tc>
          <w:tcPr>
            <w:tcW w:type="dxa" w:w="4411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Assessment question</w:t>
            </w:r>
          </w:p>
        </w:tc>
        <w:tc>
          <w:tcPr>
            <w:tcW w:type="dxa" w:w="2451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288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Evidence, gap, prerequisite, and owner</w:t>
            </w:r>
          </w:p>
        </w:tc>
      </w:tr>
      <w:tr>
        <w:trPr>
          <w:cantSplit/>
        </w:trPr>
        <w:tc>
          <w:tcPr>
            <w:tcW w:type="dxa" w:w="281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Strategic alignment</w:t>
            </w:r>
          </w:p>
        </w:tc>
        <w:tc>
          <w:tcPr>
            <w:tcW w:type="dxa" w:w="441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Is the problem linked to documented health-system priorities and realistic alternatives?</w:t>
            </w:r>
          </w:p>
        </w:tc>
        <w:tc>
          <w:tcPr>
            <w:tcW w:type="dxa" w:w="245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Uncertain</w:t>
            </w:r>
          </w:p>
        </w:tc>
        <w:tc>
          <w:tcPr>
            <w:tcW w:type="dxa" w:w="42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81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Data fitness</w:t>
            </w:r>
          </w:p>
        </w:tc>
        <w:tc>
          <w:tcPr>
            <w:tcW w:type="dxa" w:w="441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Are required data lawful, available, timely, representative, traceable, and sustainable?</w:t>
            </w:r>
          </w:p>
        </w:tc>
        <w:tc>
          <w:tcPr>
            <w:tcW w:type="dxa" w:w="245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Uncertain</w:t>
            </w:r>
          </w:p>
        </w:tc>
        <w:tc>
          <w:tcPr>
            <w:tcW w:type="dxa" w:w="42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81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Interoperability</w:t>
            </w:r>
          </w:p>
        </w:tc>
        <w:tc>
          <w:tcPr>
            <w:tcW w:type="dxa" w:w="441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Can inputs and outputs be exchanged and interpreted consistently within the decision window?</w:t>
            </w:r>
          </w:p>
        </w:tc>
        <w:tc>
          <w:tcPr>
            <w:tcW w:type="dxa" w:w="245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Uncertain</w:t>
            </w:r>
          </w:p>
        </w:tc>
        <w:tc>
          <w:tcPr>
            <w:tcW w:type="dxa" w:w="42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81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Infrastructure and resilience</w:t>
            </w:r>
          </w:p>
        </w:tc>
        <w:tc>
          <w:tcPr>
            <w:tcW w:type="dxa" w:w="441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Are identity, access, compute, storage, interfaces, logging, fallback, and recovery adequate?</w:t>
            </w:r>
          </w:p>
        </w:tc>
        <w:tc>
          <w:tcPr>
            <w:tcW w:type="dxa" w:w="245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Uncertain</w:t>
            </w:r>
          </w:p>
        </w:tc>
        <w:tc>
          <w:tcPr>
            <w:tcW w:type="dxa" w:w="42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81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Workflow and downstream capacity</w:t>
            </w:r>
          </w:p>
        </w:tc>
        <w:tc>
          <w:tcPr>
            <w:tcW w:type="dxa" w:w="441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Can users interpret the output and take the intended action without shifting unsafe burden?</w:t>
            </w:r>
          </w:p>
        </w:tc>
        <w:tc>
          <w:tcPr>
            <w:tcW w:type="dxa" w:w="245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Uncertain</w:t>
            </w:r>
          </w:p>
        </w:tc>
        <w:tc>
          <w:tcPr>
            <w:tcW w:type="dxa" w:w="42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81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Workforce capability</w:t>
            </w:r>
          </w:p>
        </w:tc>
        <w:tc>
          <w:tcPr>
            <w:tcW w:type="dxa" w:w="441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Are roles, training, competency, supervision, and professional responsibilities defined?</w:t>
            </w:r>
          </w:p>
        </w:tc>
        <w:tc>
          <w:tcPr>
            <w:tcW w:type="dxa" w:w="245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Uncertain</w:t>
            </w:r>
          </w:p>
        </w:tc>
        <w:tc>
          <w:tcPr>
            <w:tcW w:type="dxa" w:w="42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81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Quality and accreditation</w:t>
            </w:r>
          </w:p>
        </w:tc>
        <w:tc>
          <w:tcPr>
            <w:tcW w:type="dxa" w:w="441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Are controls, indicators, evidence, incident processes, and improvement responsibilities integrated?</w:t>
            </w:r>
          </w:p>
        </w:tc>
        <w:tc>
          <w:tcPr>
            <w:tcW w:type="dxa" w:w="245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Uncertain</w:t>
            </w:r>
          </w:p>
        </w:tc>
        <w:tc>
          <w:tcPr>
            <w:tcW w:type="dxa" w:w="42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81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Economics and affordability</w:t>
            </w:r>
          </w:p>
        </w:tc>
        <w:tc>
          <w:tcPr>
            <w:tcW w:type="dxa" w:w="441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Are lifecycle costs, resource constraints, benefits, uncertainty, and budget exposure understood?</w:t>
            </w:r>
          </w:p>
        </w:tc>
        <w:tc>
          <w:tcPr>
            <w:tcW w:type="dxa" w:w="245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Uncertain</w:t>
            </w:r>
          </w:p>
        </w:tc>
        <w:tc>
          <w:tcPr>
            <w:tcW w:type="dxa" w:w="42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81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Governance and assurance</w:t>
            </w:r>
          </w:p>
        </w:tc>
        <w:tc>
          <w:tcPr>
            <w:tcW w:type="dxa" w:w="441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Are decision rights, safeguards, independent review, monitoring, and authority to stop defined?</w:t>
            </w:r>
          </w:p>
        </w:tc>
        <w:tc>
          <w:tcPr>
            <w:tcW w:type="dxa" w:w="245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Uncertain</w:t>
            </w:r>
          </w:p>
        </w:tc>
        <w:tc>
          <w:tcPr>
            <w:tcW w:type="dxa" w:w="42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81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Procurement and vendor readiness</w:t>
            </w:r>
          </w:p>
        </w:tc>
        <w:tc>
          <w:tcPr>
            <w:tcW w:type="dxa" w:w="441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Can evidence, audit, updates, data rights, support, pricing, portability, and exit be contracted?</w:t>
            </w:r>
          </w:p>
        </w:tc>
        <w:tc>
          <w:tcPr>
            <w:tcW w:type="dxa" w:w="245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Uncertain</w:t>
            </w:r>
          </w:p>
        </w:tc>
        <w:tc>
          <w:tcPr>
            <w:tcW w:type="dxa" w:w="42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81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Continuing support and service sustainability</w:t>
            </w:r>
          </w:p>
        </w:tc>
        <w:tc>
          <w:tcPr>
            <w:tcW w:type="dxa" w:w="441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Are support, maintenance, infrastructure dependencies, continuity, replacement, residual value, and exit considered where material?</w:t>
            </w:r>
          </w:p>
        </w:tc>
        <w:tc>
          <w:tcPr>
            <w:tcW w:type="dxa" w:w="245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Uncertain</w:t>
            </w:r>
          </w:p>
        </w:tc>
        <w:tc>
          <w:tcPr>
            <w:tcW w:type="dxa" w:w="42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</w:tbl>
    <w:p>
      <w:r>
        <w:rPr>
          <w:rFonts w:ascii="Aptos" w:hAnsi="Aptos"/>
          <w:sz w:val="16"/>
        </w:rPr>
        <w:t>Local record control: owner __________________  evidence cut-off __________  next review __________  local version __________</w:t>
      </w:r>
    </w:p>
    <w:sectPr>
      <w:headerReference w:type="default" r:id="rId9"/>
      <w:footerReference w:type="default" r:id="rId10"/>
      <w:pgSz w:w="15840" w:h="12240" w:orient="landscape"/>
      <w:pgMar w:top="936" w:right="936" w:bottom="864" w:left="936" w:header="403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mbria" w:hAnsi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" w:hAnsi="Aptos"/>
      <w:b/>
      <w:bCs/>
      <w:color w:val="6B223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" w:hAnsi="Aptos"/>
      <w:b/>
      <w:bCs/>
      <w:color w:val="30323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" w:hAnsi="Aptos"/>
      <w:b/>
      <w:bCs/>
      <w:color w:val="6B223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877567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ptos" w:hAnsi="Aptos"/>
      <w:b/>
      <w:color w:val="6B223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40" w:after="120"/>
    </w:pPr>
    <w:rPr>
      <w:rFonts w:asciiTheme="majorHAnsi" w:eastAsiaTheme="majorEastAsia" w:hAnsiTheme="majorHAnsi" w:cstheme="majorBidi" w:ascii="Aptos" w:hAnsi="Aptos"/>
      <w:b w:val="0"/>
      <w:i/>
      <w:iCs/>
      <w:color w:val="30323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