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AIHE-A — AI Readiness Assessment for Health Systems</w:t>
      </w:r>
    </w:p>
    <w:p>
      <w:r>
        <w:rPr>
          <w:rFonts w:ascii="Arial" w:hAnsi="Arial"/>
          <w:color w:val="595959"/>
          <w:sz w:val="17"/>
        </w:rPr>
        <w:t>Current digital location: Resource Set A — Decision Specification and Institutional Readiness.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pPr>
              <w:spacing w:before="0" w:after="20" w:line="252" w:lineRule="auto"/>
            </w:pPr>
            <w:r>
              <w:rPr>
                <w:sz w:val="18"/>
              </w:rPr>
              <w:t>Resource ID</w:t>
            </w:r>
          </w:p>
        </w:tc>
        <w:tc>
          <w:tcPr>
            <w:tcW w:type="dxa" w:w="5184"/>
            <w:tcMar>
              <w:top w:w="80" w:type="dxa"/>
              <w:start w:w="80" w:type="dxa"/>
              <w:bottom w:w="80" w:type="dxa"/>
              <w:end w:w="80" w:type="dxa"/>
            </w:tcMar>
          </w:tcPr>
          <w:p>
            <w:pPr>
              <w:spacing w:before="0" w:after="20" w:line="252" w:lineRule="auto"/>
            </w:pPr>
            <w:r>
              <w:rPr>
                <w:sz w:val="18"/>
              </w:rPr>
              <w:t>AIHE-A</w:t>
            </w:r>
          </w:p>
        </w:tc>
      </w:tr>
      <w:tr>
        <w:tc>
          <w:tcPr>
            <w:tcW w:type="dxa" w:w="5184"/>
            <w:shd w:fill="F5F0E7"/>
            <w:tcMar>
              <w:top w:w="80" w:type="dxa"/>
              <w:start w:w="80" w:type="dxa"/>
              <w:bottom w:w="80" w:type="dxa"/>
              <w:end w:w="80" w:type="dxa"/>
            </w:tcMar>
          </w:tcPr>
          <w:p>
            <w:pPr>
              <w:spacing w:before="0" w:after="20" w:line="252" w:lineRule="auto"/>
            </w:pPr>
            <w:r>
              <w:rPr>
                <w:sz w:val="18"/>
              </w:rPr>
              <w:t>Version</w:t>
            </w:r>
          </w:p>
        </w:tc>
        <w:tc>
          <w:tcPr>
            <w:tcW w:type="dxa" w:w="5184"/>
            <w:tcMar>
              <w:top w:w="80" w:type="dxa"/>
              <w:start w:w="80" w:type="dxa"/>
              <w:bottom w:w="80" w:type="dxa"/>
              <w:end w:w="80" w:type="dxa"/>
            </w:tcMar>
            <w:vAlign w:val="centre"/>
          </w:tcPr>
          <w:p>
            <w:pPr>
              <w:spacing w:before="0" w:after="20" w:line="252" w:lineRule="auto"/>
              <w:jc w:val="left"/>
            </w:pPr>
            <w:r>
              <w:rPr>
                <w:sz w:val="18"/>
              </w:rPr>
              <w:t>V1.0 | aligned to the twelve-chapter reference edition and Resource Sets A–D</w:t>
            </w:r>
          </w:p>
        </w:tc>
      </w:tr>
      <w:tr>
        <w:tc>
          <w:tcPr>
            <w:tcW w:type="dxa" w:w="5184"/>
            <w:shd w:fill="F5F0E7"/>
            <w:tcMar>
              <w:top w:w="80" w:type="dxa"/>
              <w:start w:w="80" w:type="dxa"/>
              <w:bottom w:w="80" w:type="dxa"/>
              <w:end w:w="80" w:type="dxa"/>
            </w:tcMar>
          </w:tcPr>
          <w:p>
            <w:pPr>
              <w:spacing w:before="0" w:after="20" w:line="252" w:lineRule="auto"/>
            </w:pPr>
            <w:r>
              <w:rPr>
                <w:sz w:val="18"/>
              </w:rPr>
              <w:t>Last reviewed</w:t>
            </w:r>
          </w:p>
        </w:tc>
        <w:tc>
          <w:tcPr>
            <w:tcW w:type="dxa" w:w="5184"/>
            <w:tcMar>
              <w:top w:w="80" w:type="dxa"/>
              <w:start w:w="80" w:type="dxa"/>
              <w:bottom w:w="80" w:type="dxa"/>
              <w:end w:w="80" w:type="dxa"/>
            </w:tcMar>
          </w:tcPr>
          <w:p>
            <w:pPr>
              <w:spacing w:before="0" w:after="20" w:line="252" w:lineRule="auto"/>
            </w:pPr>
            <w:r>
              <w:rPr>
                <w:sz w:val="18"/>
              </w:rPr>
              <w:t>2026-07-26</w:t>
            </w:r>
          </w:p>
        </w:tc>
      </w:tr>
      <w:tr>
        <w:tc>
          <w:tcPr>
            <w:tcW w:type="dxa" w:w="5184"/>
            <w:shd w:fill="F5F0E7"/>
            <w:tcMar>
              <w:top w:w="80" w:type="dxa"/>
              <w:start w:w="80" w:type="dxa"/>
              <w:bottom w:w="80" w:type="dxa"/>
              <w:end w:w="80" w:type="dxa"/>
            </w:tcMar>
          </w:tcPr>
          <w:p>
            <w:pPr>
              <w:spacing w:before="0" w:after="20" w:line="252" w:lineRule="auto"/>
            </w:pPr>
            <w:r>
              <w:rPr>
                <w:sz w:val="18"/>
              </w:rPr>
              <w:t>Related chapters</w:t>
            </w:r>
          </w:p>
        </w:tc>
        <w:tc>
          <w:tcPr>
            <w:tcW w:type="dxa" w:w="5184"/>
            <w:tcMar>
              <w:top w:w="80" w:type="dxa"/>
              <w:start w:w="80" w:type="dxa"/>
              <w:bottom w:w="80" w:type="dxa"/>
              <w:end w:w="80" w:type="dxa"/>
            </w:tcMar>
            <w:vAlign w:val="centre"/>
          </w:tcPr>
          <w:p>
            <w:pPr>
              <w:spacing w:before="0" w:after="20" w:line="252" w:lineRule="auto"/>
              <w:jc w:val="left"/>
            </w:pPr>
            <w:r>
              <w:rPr>
                <w:sz w:val="18"/>
              </w:rPr>
            </w:r>
            <w:r>
              <w:rPr>
                <w:b w:val="0"/>
                <w:sz w:val="18"/>
              </w:rPr>
              <w:t>Chapter 2: Institutional Readiness and Digital Foundations; Chapter 9: Problem-First Procurement and Vendor Governance; Chapter 4: Productivity, Work Redesign, and Implementation; Chapter 12: Decision Architecture and Lifecycle Governance</w:t>
            </w:r>
          </w:p>
        </w:tc>
      </w:tr>
      <w:tr>
        <w:tc>
          <w:tcPr>
            <w:tcW w:type="dxa" w:w="5184"/>
            <w:shd w:fill="F5F0E7"/>
            <w:tcMar>
              <w:top w:w="80" w:type="dxa"/>
              <w:start w:w="80" w:type="dxa"/>
              <w:bottom w:w="80" w:type="dxa"/>
              <w:end w:w="80" w:type="dxa"/>
            </w:tcMar>
          </w:tcPr>
          <w:p>
            <w:pPr>
              <w:spacing w:before="0" w:after="20" w:line="252" w:lineRule="auto"/>
            </w:pPr>
            <w:r>
              <w:rPr>
                <w:sz w:val="18"/>
              </w:rPr>
              <w:t>Intended users</w:t>
            </w:r>
          </w:p>
        </w:tc>
        <w:tc>
          <w:tcPr>
            <w:tcW w:type="dxa" w:w="5184"/>
            <w:tcMar>
              <w:top w:w="80" w:type="dxa"/>
              <w:start w:w="80" w:type="dxa"/>
              <w:bottom w:w="80" w:type="dxa"/>
              <w:end w:w="80" w:type="dxa"/>
            </w:tcMar>
          </w:tcPr>
          <w:p>
            <w:pPr>
              <w:spacing w:before="0" w:after="20" w:line="252" w:lineRule="auto"/>
            </w:pPr>
            <w:r>
              <w:rPr>
                <w:sz w:val="18"/>
              </w:rP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This digital resource provides a practical tool that can be adapted for institutional governance, project planning, or self-directed analysis. The tool is intentionally generic and should be localized to legal, regulatory, institutional, and clinical requirements before use.</w:t>
      </w:r>
    </w:p>
    <w:p>
      <w:r>
        <w:t>Table A.1. Digital Resource AIHE-A: AI Readiness Assessment for Health Systems</w:t>
      </w:r>
    </w:p>
    <w:tbl>
      <w:tblPr>
        <w:tblStyle w:val="TableGrid"/>
        <w:tblW w:type="auto" w:w="0"/>
        <w:jc w:val="centre"/>
        <w:tblLook w:firstColumn="1" w:firstRow="1" w:lastColumn="0" w:lastRow="0" w:noHBand="0" w:noVBand="1" w:val="04A0"/>
      </w:tblPr>
      <w:tblGrid>
        <w:gridCol w:w="2592"/>
        <w:gridCol w:w="2592"/>
        <w:gridCol w:w="2592"/>
        <w:gridCol w:w="2592"/>
      </w:tblGrid>
      <w:tr>
        <w:trPr>
          <w:tblHeader w:val="true"/>
        </w:trPr>
        <w:tc>
          <w:tcPr>
            <w:tcW w:type="dxa" w:w="2592"/>
            <w:vAlign w:val="centre"/>
            <w:tcMar>
              <w:top w:w="80" w:type="dxa"/>
              <w:start w:w="80" w:type="dxa"/>
              <w:bottom w:w="80" w:type="dxa"/>
              <w:end w:w="80" w:type="dxa"/>
            </w:tcMar>
            <w:shd w:fill="F5F0E7"/>
          </w:tcPr>
          <w:p>
            <w:pPr>
              <w:spacing w:before="0" w:after="20" w:line="252" w:lineRule="auto"/>
            </w:pPr>
            <w:r>
              <w:rPr>
                <w:b/>
                <w:sz w:val="18"/>
              </w:rPr>
              <w:t>Domain</w:t>
            </w:r>
          </w:p>
        </w:tc>
        <w:tc>
          <w:tcPr>
            <w:tcW w:type="dxa" w:w="2592"/>
            <w:vAlign w:val="centre"/>
            <w:tcMar>
              <w:top w:w="80" w:type="dxa"/>
              <w:start w:w="80" w:type="dxa"/>
              <w:bottom w:w="80" w:type="dxa"/>
              <w:end w:w="80" w:type="dxa"/>
            </w:tcMar>
            <w:shd w:fill="F5F0E7"/>
          </w:tcPr>
          <w:p>
            <w:pPr>
              <w:spacing w:before="0" w:after="20" w:line="252" w:lineRule="auto"/>
            </w:pPr>
            <w:r>
              <w:rPr>
                <w:b/>
                <w:sz w:val="18"/>
              </w:rPr>
              <w:t>Assessment question</w:t>
            </w:r>
          </w:p>
        </w:tc>
        <w:tc>
          <w:tcPr>
            <w:tcW w:type="dxa" w:w="2592"/>
            <w:vAlign w:val="centre"/>
            <w:tcMar>
              <w:top w:w="80" w:type="dxa"/>
              <w:start w:w="80" w:type="dxa"/>
              <w:bottom w:w="80" w:type="dxa"/>
              <w:end w:w="80" w:type="dxa"/>
            </w:tcMar>
            <w:shd w:fill="F5F0E7"/>
          </w:tcPr>
          <w:p>
            <w:pPr>
              <w:spacing w:before="0" w:after="20" w:line="252" w:lineRule="auto"/>
            </w:pPr>
            <w:r>
              <w:rPr>
                <w:b/>
                <w:sz w:val="18"/>
              </w:rPr>
              <w:t>Score 0-3</w:t>
            </w:r>
          </w:p>
        </w:tc>
        <w:tc>
          <w:tcPr>
            <w:tcW w:type="dxa" w:w="2592"/>
            <w:vAlign w:val="centre"/>
            <w:tcMar>
              <w:top w:w="80" w:type="dxa"/>
              <w:start w:w="80" w:type="dxa"/>
              <w:bottom w:w="80" w:type="dxa"/>
              <w:end w:w="80" w:type="dxa"/>
            </w:tcMar>
            <w:shd w:fill="F5F0E7"/>
          </w:tcPr>
          <w:p>
            <w:pPr>
              <w:spacing w:before="0" w:after="20" w:line="252" w:lineRule="auto"/>
            </w:pPr>
            <w:r>
              <w:rPr>
                <w:b/>
                <w:sz w:val="18"/>
              </w:rPr>
              <w:t>Evidence required</w:t>
            </w:r>
          </w:p>
        </w:tc>
      </w:tr>
      <w:tr>
        <w:tc>
          <w:tcPr>
            <w:tcW w:type="dxa" w:w="2592"/>
            <w:vAlign w:val="centre"/>
            <w:tcMar>
              <w:top w:w="80" w:type="dxa"/>
              <w:start w:w="80" w:type="dxa"/>
              <w:bottom w:w="80" w:type="dxa"/>
              <w:end w:w="80" w:type="dxa"/>
            </w:tcMar>
          </w:tcPr>
          <w:p>
            <w:pPr>
              <w:spacing w:before="0" w:after="20" w:line="252" w:lineRule="auto"/>
            </w:pPr>
            <w:r>
              <w:rPr>
                <w:sz w:val="18"/>
              </w:rPr>
              <w:t>Strategic alignment</w:t>
            </w:r>
          </w:p>
        </w:tc>
        <w:tc>
          <w:tcPr>
            <w:tcW w:type="dxa" w:w="2592"/>
            <w:vAlign w:val="centre"/>
            <w:tcMar>
              <w:top w:w="80" w:type="dxa"/>
              <w:start w:w="80" w:type="dxa"/>
              <w:bottom w:w="80" w:type="dxa"/>
              <w:end w:w="80" w:type="dxa"/>
            </w:tcMar>
          </w:tcPr>
          <w:p>
            <w:pPr>
              <w:spacing w:before="0" w:after="20" w:line="252" w:lineRule="auto"/>
            </w:pPr>
            <w:r>
              <w:rPr>
                <w:sz w:val="18"/>
              </w:rPr>
              <w:t>Is the AI project linked to a documented hospital priority?</w:t>
            </w:r>
          </w:p>
        </w:tc>
        <w:tc>
          <w:tcPr>
            <w:tcW w:type="dxa" w:w="2592"/>
            <w:vAlign w:val="centre"/>
            <w:tcMar>
              <w:top w:w="80" w:type="dxa"/>
              <w:start w:w="80" w:type="dxa"/>
              <w:bottom w:w="80" w:type="dxa"/>
              <w:end w:w="80" w:type="dxa"/>
            </w:tcMar>
          </w:tcPr>
          <w:p>
            <w:pPr>
              <w:spacing w:before="0" w:after="20" w:line="252" w:lineRule="auto"/>
            </w:pPr>
            <w:r>
              <w:rPr>
                <w:sz w:val="18"/>
              </w:rPr>
              <w:t>3</w:t>
            </w:r>
          </w:p>
        </w:tc>
        <w:tc>
          <w:tcPr>
            <w:tcW w:type="dxa" w:w="2592"/>
            <w:vAlign w:val="centre"/>
            <w:tcMar>
              <w:top w:w="80" w:type="dxa"/>
              <w:start w:w="80" w:type="dxa"/>
              <w:bottom w:w="80" w:type="dxa"/>
              <w:end w:w="80" w:type="dxa"/>
            </w:tcMar>
          </w:tcPr>
          <w:p>
            <w:pPr>
              <w:spacing w:before="0" w:after="20" w:line="252" w:lineRule="auto"/>
            </w:pPr>
            <w:r>
              <w:rPr>
                <w:sz w:val="18"/>
              </w:rPr>
              <w:t>Illustrative response for Strategic alignment: evidence documented, limitations noted, and an accountable owner assigned.</w:t>
            </w:r>
          </w:p>
        </w:tc>
      </w:tr>
      <w:tr>
        <w:tc>
          <w:tcPr>
            <w:tcW w:type="dxa" w:w="2592"/>
            <w:vAlign w:val="centre"/>
            <w:tcMar>
              <w:top w:w="80" w:type="dxa"/>
              <w:start w:w="80" w:type="dxa"/>
              <w:bottom w:w="80" w:type="dxa"/>
              <w:end w:w="80" w:type="dxa"/>
            </w:tcMar>
          </w:tcPr>
          <w:p>
            <w:pPr>
              <w:spacing w:before="0" w:after="20" w:line="252" w:lineRule="auto"/>
            </w:pPr>
            <w:r>
              <w:rPr>
                <w:sz w:val="18"/>
              </w:rPr>
              <w:t>Data readiness</w:t>
            </w:r>
          </w:p>
        </w:tc>
        <w:tc>
          <w:tcPr>
            <w:tcW w:type="dxa" w:w="2592"/>
            <w:vAlign w:val="centre"/>
            <w:tcMar>
              <w:top w:w="80" w:type="dxa"/>
              <w:start w:w="80" w:type="dxa"/>
              <w:bottom w:w="80" w:type="dxa"/>
              <w:end w:w="80" w:type="dxa"/>
            </w:tcMar>
          </w:tcPr>
          <w:p>
            <w:pPr>
              <w:spacing w:before="0" w:after="20" w:line="252" w:lineRule="auto"/>
            </w:pPr>
            <w:r>
              <w:rPr>
                <w:sz w:val="18"/>
              </w:rPr>
              <w:t>Are relevant data complete, standardized, accessible, and lawful to use?</w:t>
            </w:r>
          </w:p>
        </w:tc>
        <w:tc>
          <w:tcPr>
            <w:tcW w:type="dxa" w:w="2592"/>
            <w:vAlign w:val="centre"/>
            <w:tcMar>
              <w:top w:w="80" w:type="dxa"/>
              <w:start w:w="80" w:type="dxa"/>
              <w:bottom w:w="80" w:type="dxa"/>
              <w:end w:w="80" w:type="dxa"/>
            </w:tcMar>
          </w:tcPr>
          <w:p>
            <w:pPr>
              <w:spacing w:before="0" w:after="20" w:line="252" w:lineRule="auto"/>
            </w:pPr>
            <w:r>
              <w:rPr>
                <w:sz w:val="18"/>
              </w:rPr>
              <w:t>3</w:t>
            </w:r>
          </w:p>
        </w:tc>
        <w:tc>
          <w:tcPr>
            <w:tcW w:type="dxa" w:w="2592"/>
            <w:vAlign w:val="centre"/>
            <w:tcMar>
              <w:top w:w="80" w:type="dxa"/>
              <w:start w:w="80" w:type="dxa"/>
              <w:bottom w:w="80" w:type="dxa"/>
              <w:end w:w="80" w:type="dxa"/>
            </w:tcMar>
          </w:tcPr>
          <w:p>
            <w:pPr>
              <w:spacing w:before="0" w:after="20" w:line="252" w:lineRule="auto"/>
            </w:pPr>
            <w:r>
              <w:rPr>
                <w:sz w:val="18"/>
              </w:rPr>
              <w:t>Illustrative response for Data readiness: evidence documented, limitations noted, and an accountable owner assigned.</w:t>
            </w:r>
          </w:p>
        </w:tc>
      </w:tr>
      <w:tr>
        <w:tc>
          <w:tcPr>
            <w:tcW w:type="dxa" w:w="2592"/>
            <w:vAlign w:val="centre"/>
            <w:tcMar>
              <w:top w:w="80" w:type="dxa"/>
              <w:start w:w="80" w:type="dxa"/>
              <w:bottom w:w="80" w:type="dxa"/>
              <w:end w:w="80" w:type="dxa"/>
            </w:tcMar>
          </w:tcPr>
          <w:p>
            <w:pPr>
              <w:spacing w:before="0" w:after="20" w:line="252" w:lineRule="auto"/>
            </w:pPr>
            <w:r>
              <w:rPr>
                <w:sz w:val="18"/>
              </w:rPr>
              <w:t>Infrastructure</w:t>
            </w:r>
          </w:p>
        </w:tc>
        <w:tc>
          <w:tcPr>
            <w:tcW w:type="dxa" w:w="2592"/>
            <w:vAlign w:val="centre"/>
            <w:tcMar>
              <w:top w:w="80" w:type="dxa"/>
              <w:start w:w="80" w:type="dxa"/>
              <w:bottom w:w="80" w:type="dxa"/>
              <w:end w:w="80" w:type="dxa"/>
            </w:tcMar>
          </w:tcPr>
          <w:p>
            <w:pPr>
              <w:spacing w:before="0" w:after="20" w:line="252" w:lineRule="auto"/>
            </w:pPr>
            <w:r>
              <w:rPr>
                <w:sz w:val="18"/>
              </w:rPr>
              <w:t>Can the system integrate with existing hospital platforms?</w:t>
            </w:r>
          </w:p>
        </w:tc>
        <w:tc>
          <w:tcPr>
            <w:tcW w:type="dxa" w:w="2592"/>
            <w:vAlign w:val="centre"/>
            <w:tcMar>
              <w:top w:w="80" w:type="dxa"/>
              <w:start w:w="80" w:type="dxa"/>
              <w:bottom w:w="80" w:type="dxa"/>
              <w:end w:w="80" w:type="dxa"/>
            </w:tcMar>
          </w:tcPr>
          <w:p>
            <w:pPr>
              <w:spacing w:before="0" w:after="20" w:line="252" w:lineRule="auto"/>
            </w:pPr>
            <w:r>
              <w:rPr>
                <w:sz w:val="18"/>
              </w:rPr>
              <w:t>3</w:t>
            </w:r>
          </w:p>
        </w:tc>
        <w:tc>
          <w:tcPr>
            <w:tcW w:type="dxa" w:w="2592"/>
            <w:vAlign w:val="centre"/>
            <w:tcMar>
              <w:top w:w="80" w:type="dxa"/>
              <w:start w:w="80" w:type="dxa"/>
              <w:bottom w:w="80" w:type="dxa"/>
              <w:end w:w="80" w:type="dxa"/>
            </w:tcMar>
          </w:tcPr>
          <w:p>
            <w:pPr>
              <w:spacing w:before="0" w:after="20" w:line="252" w:lineRule="auto"/>
            </w:pPr>
            <w:r>
              <w:rPr>
                <w:sz w:val="18"/>
              </w:rPr>
              <w:t>Illustrative response for Infrastructure: evidence documented, limitations noted, and an accountable owner assigned.</w:t>
            </w:r>
          </w:p>
        </w:tc>
      </w:tr>
      <w:tr>
        <w:tc>
          <w:tcPr>
            <w:tcW w:type="dxa" w:w="2592"/>
            <w:vAlign w:val="centre"/>
            <w:tcMar>
              <w:top w:w="80" w:type="dxa"/>
              <w:start w:w="80" w:type="dxa"/>
              <w:bottom w:w="80" w:type="dxa"/>
              <w:end w:w="80" w:type="dxa"/>
            </w:tcMar>
          </w:tcPr>
          <w:p>
            <w:pPr>
              <w:spacing w:before="0" w:after="20" w:line="252" w:lineRule="auto"/>
            </w:pPr>
            <w:r>
              <w:rPr>
                <w:sz w:val="18"/>
              </w:rPr>
              <w:t>Workforce</w:t>
            </w:r>
          </w:p>
        </w:tc>
        <w:tc>
          <w:tcPr>
            <w:tcW w:type="dxa" w:w="2592"/>
            <w:vAlign w:val="centre"/>
            <w:tcMar>
              <w:top w:w="80" w:type="dxa"/>
              <w:start w:w="80" w:type="dxa"/>
              <w:bottom w:w="80" w:type="dxa"/>
              <w:end w:w="80" w:type="dxa"/>
            </w:tcMar>
          </w:tcPr>
          <w:p>
            <w:pPr>
              <w:spacing w:before="0" w:after="20" w:line="252" w:lineRule="auto"/>
            </w:pPr>
            <w:r>
              <w:rPr>
                <w:sz w:val="18"/>
              </w:rPr>
              <w:t>Are users trained and ready to interpret AI outputs?</w:t>
            </w:r>
          </w:p>
        </w:tc>
        <w:tc>
          <w:tcPr>
            <w:tcW w:type="dxa" w:w="2592"/>
            <w:vAlign w:val="centre"/>
            <w:tcMar>
              <w:top w:w="80" w:type="dxa"/>
              <w:start w:w="80" w:type="dxa"/>
              <w:bottom w:w="80" w:type="dxa"/>
              <w:end w:w="80" w:type="dxa"/>
            </w:tcMar>
          </w:tcPr>
          <w:p>
            <w:pPr>
              <w:spacing w:before="0" w:after="20" w:line="252" w:lineRule="auto"/>
            </w:pPr>
            <w:r>
              <w:rPr>
                <w:sz w:val="18"/>
              </w:rPr>
              <w:t>3</w:t>
            </w:r>
          </w:p>
        </w:tc>
        <w:tc>
          <w:tcPr>
            <w:tcW w:type="dxa" w:w="2592"/>
            <w:vAlign w:val="centre"/>
            <w:tcMar>
              <w:top w:w="80" w:type="dxa"/>
              <w:start w:w="80" w:type="dxa"/>
              <w:bottom w:w="80" w:type="dxa"/>
              <w:end w:w="80" w:type="dxa"/>
            </w:tcMar>
          </w:tcPr>
          <w:p>
            <w:pPr>
              <w:spacing w:before="0" w:after="20" w:line="252" w:lineRule="auto"/>
            </w:pPr>
            <w:r>
              <w:rPr>
                <w:sz w:val="18"/>
              </w:rPr>
              <w:t>Illustrative response for Workforce: evidence documented, limitations noted, and an accountable owner assigned.</w:t>
            </w:r>
          </w:p>
        </w:tc>
      </w:tr>
      <w:tr>
        <w:tc>
          <w:tcPr>
            <w:tcW w:type="dxa" w:w="2592"/>
            <w:vAlign w:val="centre"/>
            <w:tcMar>
              <w:top w:w="80" w:type="dxa"/>
              <w:start w:w="80" w:type="dxa"/>
              <w:bottom w:w="80" w:type="dxa"/>
              <w:end w:w="80" w:type="dxa"/>
            </w:tcMar>
          </w:tcPr>
          <w:p>
            <w:pPr>
              <w:spacing w:before="0" w:after="20" w:line="252" w:lineRule="auto"/>
            </w:pPr>
            <w:r>
              <w:rPr>
                <w:sz w:val="18"/>
              </w:rPr>
              <w:t>Governance</w:t>
            </w:r>
          </w:p>
        </w:tc>
        <w:tc>
          <w:tcPr>
            <w:tcW w:type="dxa" w:w="2592"/>
            <w:vAlign w:val="centre"/>
            <w:tcMar>
              <w:top w:w="80" w:type="dxa"/>
              <w:start w:w="80" w:type="dxa"/>
              <w:bottom w:w="80" w:type="dxa"/>
              <w:end w:w="80" w:type="dxa"/>
            </w:tcMar>
          </w:tcPr>
          <w:p>
            <w:pPr>
              <w:spacing w:before="0" w:after="20" w:line="252" w:lineRule="auto"/>
            </w:pPr>
            <w:r>
              <w:rPr>
                <w:sz w:val="18"/>
              </w:rPr>
              <w:t>Are roles, accountability, and monitoring defined?</w:t>
            </w:r>
          </w:p>
        </w:tc>
        <w:tc>
          <w:tcPr>
            <w:tcW w:type="dxa" w:w="2592"/>
            <w:vAlign w:val="centre"/>
            <w:tcMar>
              <w:top w:w="80" w:type="dxa"/>
              <w:start w:w="80" w:type="dxa"/>
              <w:bottom w:w="80" w:type="dxa"/>
              <w:end w:w="80" w:type="dxa"/>
            </w:tcMar>
          </w:tcPr>
          <w:p>
            <w:pPr>
              <w:spacing w:before="0" w:after="20" w:line="252" w:lineRule="auto"/>
            </w:pPr>
            <w:r>
              <w:rPr>
                <w:sz w:val="18"/>
              </w:rPr>
              <w:t>3</w:t>
            </w:r>
          </w:p>
        </w:tc>
        <w:tc>
          <w:tcPr>
            <w:tcW w:type="dxa" w:w="2592"/>
            <w:vAlign w:val="centre"/>
            <w:tcMar>
              <w:top w:w="80" w:type="dxa"/>
              <w:start w:w="80" w:type="dxa"/>
              <w:bottom w:w="80" w:type="dxa"/>
              <w:end w:w="80" w:type="dxa"/>
            </w:tcMar>
          </w:tcPr>
          <w:p>
            <w:pPr>
              <w:spacing w:before="0" w:after="20" w:line="252" w:lineRule="auto"/>
            </w:pPr>
            <w:r>
              <w:rPr>
                <w:sz w:val="18"/>
              </w:rPr>
              <w:t>Illustrative response for Governance: evidence documented, limitations noted, and an accountable owner assigned.</w:t>
            </w:r>
          </w:p>
        </w:tc>
      </w:tr>
      <w:tr>
        <w:tc>
          <w:tcPr>
            <w:tcW w:type="dxa" w:w="2592"/>
            <w:vAlign w:val="centre"/>
            <w:tcMar>
              <w:top w:w="80" w:type="dxa"/>
              <w:start w:w="80" w:type="dxa"/>
              <w:bottom w:w="80" w:type="dxa"/>
              <w:end w:w="80" w:type="dxa"/>
            </w:tcMar>
          </w:tcPr>
          <w:p>
            <w:pPr>
              <w:spacing w:before="0" w:after="20" w:line="252" w:lineRule="auto"/>
            </w:pPr>
            <w:r>
              <w:rPr>
                <w:sz w:val="18"/>
              </w:rPr>
              <w:t>Economics</w:t>
            </w:r>
          </w:p>
        </w:tc>
        <w:tc>
          <w:tcPr>
            <w:tcW w:type="dxa" w:w="2592"/>
            <w:vAlign w:val="centre"/>
            <w:tcMar>
              <w:top w:w="80" w:type="dxa"/>
              <w:start w:w="80" w:type="dxa"/>
              <w:bottom w:w="80" w:type="dxa"/>
              <w:end w:w="80" w:type="dxa"/>
            </w:tcMar>
          </w:tcPr>
          <w:p>
            <w:pPr>
              <w:spacing w:before="0" w:after="20" w:line="252" w:lineRule="auto"/>
            </w:pPr>
            <w:r>
              <w:rPr>
                <w:sz w:val="18"/>
              </w:rPr>
              <w:t>Is there a full cost and budget impact assessment?</w:t>
            </w:r>
          </w:p>
        </w:tc>
        <w:tc>
          <w:tcPr>
            <w:tcW w:type="dxa" w:w="2592"/>
            <w:vAlign w:val="centre"/>
            <w:tcMar>
              <w:top w:w="80" w:type="dxa"/>
              <w:start w:w="80" w:type="dxa"/>
              <w:bottom w:w="80" w:type="dxa"/>
              <w:end w:w="80" w:type="dxa"/>
            </w:tcMar>
          </w:tcPr>
          <w:p>
            <w:pPr>
              <w:spacing w:before="0" w:after="20" w:line="252" w:lineRule="auto"/>
            </w:pPr>
            <w:r>
              <w:rPr>
                <w:sz w:val="18"/>
              </w:rPr>
              <w:t>3</w:t>
            </w:r>
          </w:p>
        </w:tc>
        <w:tc>
          <w:tcPr>
            <w:tcW w:type="dxa" w:w="2592"/>
            <w:vAlign w:val="centre"/>
            <w:tcMar>
              <w:top w:w="80" w:type="dxa"/>
              <w:start w:w="80" w:type="dxa"/>
              <w:bottom w:w="80" w:type="dxa"/>
              <w:end w:w="80" w:type="dxa"/>
            </w:tcMar>
          </w:tcPr>
          <w:p>
            <w:pPr>
              <w:spacing w:before="0" w:after="20" w:line="252" w:lineRule="auto"/>
            </w:pPr>
            <w:r>
              <w:rPr>
                <w:sz w:val="18"/>
              </w:rPr>
              <w:t>Illustrative response for Economics: evidence documented, limitations noted, and an accountable owner assigned.</w:t>
            </w:r>
          </w:p>
        </w:tc>
      </w:tr>
      <w:tr>
        <w:tc>
          <w:tcPr>
            <w:tcW w:type="dxa" w:w="2592"/>
            <w:vAlign w:val="centre"/>
            <w:tcMar>
              <w:top w:w="80" w:type="dxa"/>
              <w:start w:w="80" w:type="dxa"/>
              <w:bottom w:w="80" w:type="dxa"/>
              <w:end w:w="80" w:type="dxa"/>
            </w:tcMar>
          </w:tcPr>
          <w:p>
            <w:pPr>
              <w:spacing w:before="0" w:after="20" w:line="252" w:lineRule="auto"/>
            </w:pPr>
            <w:r>
              <w:rPr>
                <w:sz w:val="18"/>
              </w:rPr>
              <w:t>Ethics and equity</w:t>
            </w:r>
          </w:p>
        </w:tc>
        <w:tc>
          <w:tcPr>
            <w:tcW w:type="dxa" w:w="2592"/>
            <w:vAlign w:val="centre"/>
            <w:tcMar>
              <w:top w:w="80" w:type="dxa"/>
              <w:start w:w="80" w:type="dxa"/>
              <w:bottom w:w="80" w:type="dxa"/>
              <w:end w:w="80" w:type="dxa"/>
            </w:tcMar>
          </w:tcPr>
          <w:p>
            <w:pPr>
              <w:spacing w:before="0" w:after="20" w:line="252" w:lineRule="auto"/>
            </w:pPr>
            <w:r>
              <w:rPr>
                <w:sz w:val="18"/>
              </w:rPr>
              <w:t>Have fairness, trust, access, and patient implications been reviewed?</w:t>
            </w:r>
          </w:p>
        </w:tc>
        <w:tc>
          <w:tcPr>
            <w:tcW w:type="dxa" w:w="2592"/>
            <w:vAlign w:val="centre"/>
            <w:tcMar>
              <w:top w:w="80" w:type="dxa"/>
              <w:start w:w="80" w:type="dxa"/>
              <w:bottom w:w="80" w:type="dxa"/>
              <w:end w:w="80" w:type="dxa"/>
            </w:tcMar>
          </w:tcPr>
          <w:p>
            <w:pPr>
              <w:spacing w:before="0" w:after="20" w:line="252" w:lineRule="auto"/>
            </w:pPr>
            <w:r>
              <w:rPr>
                <w:sz w:val="18"/>
              </w:rPr>
              <w:t>3</w:t>
            </w:r>
          </w:p>
        </w:tc>
        <w:tc>
          <w:tcPr>
            <w:tcW w:type="dxa" w:w="2592"/>
            <w:vAlign w:val="centre"/>
            <w:tcMar>
              <w:top w:w="80" w:type="dxa"/>
              <w:start w:w="80" w:type="dxa"/>
              <w:bottom w:w="80" w:type="dxa"/>
              <w:end w:w="80" w:type="dxa"/>
            </w:tcMar>
          </w:tcPr>
          <w:p>
            <w:pPr>
              <w:spacing w:before="0" w:after="20" w:line="252" w:lineRule="auto"/>
            </w:pPr>
            <w:r>
              <w:rPr>
                <w:sz w:val="18"/>
              </w:rPr>
              <w:t>Illustrative response for Ethics and equity: evidence documented, limitations noted, and an accountable owner assigned.</w:t>
            </w:r>
          </w:p>
        </w:tc>
      </w:tr>
      <w:tr>
        <w:tc>
          <w:tcPr>
            <w:tcW w:type="dxa" w:w="2592"/>
            <w:vAlign w:val="centre"/>
            <w:tcMar>
              <w:top w:w="80" w:type="dxa"/>
              <w:start w:w="80" w:type="dxa"/>
              <w:bottom w:w="80" w:type="dxa"/>
              <w:end w:w="80" w:type="dxa"/>
            </w:tcMar>
          </w:tcPr>
          <w:p>
            <w:pPr>
              <w:spacing w:before="0" w:after="20" w:line="252" w:lineRule="auto"/>
            </w:pPr>
            <w:r>
              <w:rPr>
                <w:sz w:val="18"/>
              </w:rPr>
              <w:t>Cybersecurity</w:t>
            </w:r>
          </w:p>
        </w:tc>
        <w:tc>
          <w:tcPr>
            <w:tcW w:type="dxa" w:w="2592"/>
            <w:vAlign w:val="centre"/>
            <w:tcMar>
              <w:top w:w="80" w:type="dxa"/>
              <w:start w:w="80" w:type="dxa"/>
              <w:bottom w:w="80" w:type="dxa"/>
              <w:end w:w="80" w:type="dxa"/>
            </w:tcMar>
          </w:tcPr>
          <w:p>
            <w:pPr>
              <w:spacing w:before="0" w:after="20" w:line="252" w:lineRule="auto"/>
            </w:pPr>
            <w:r>
              <w:rPr>
                <w:sz w:val="18"/>
              </w:rPr>
              <w:t>Has the solution been assessed for privacy and resilience?</w:t>
            </w:r>
          </w:p>
        </w:tc>
        <w:tc>
          <w:tcPr>
            <w:tcW w:type="dxa" w:w="2592"/>
            <w:vAlign w:val="centre"/>
            <w:tcMar>
              <w:top w:w="80" w:type="dxa"/>
              <w:start w:w="80" w:type="dxa"/>
              <w:bottom w:w="80" w:type="dxa"/>
              <w:end w:w="80" w:type="dxa"/>
            </w:tcMar>
          </w:tcPr>
          <w:p>
            <w:pPr>
              <w:spacing w:before="0" w:after="20" w:line="252" w:lineRule="auto"/>
            </w:pPr>
            <w:r>
              <w:rPr>
                <w:sz w:val="18"/>
              </w:rPr>
              <w:t>3</w:t>
            </w:r>
          </w:p>
        </w:tc>
        <w:tc>
          <w:tcPr>
            <w:tcW w:type="dxa" w:w="2592"/>
            <w:vAlign w:val="centre"/>
            <w:tcMar>
              <w:top w:w="80" w:type="dxa"/>
              <w:start w:w="80" w:type="dxa"/>
              <w:bottom w:w="80" w:type="dxa"/>
              <w:end w:w="80" w:type="dxa"/>
            </w:tcMar>
          </w:tcPr>
          <w:p>
            <w:pPr>
              <w:spacing w:before="0" w:after="20" w:line="252" w:lineRule="auto"/>
            </w:pPr>
            <w:r>
              <w:rPr>
                <w:sz w:val="18"/>
              </w:rPr>
              <w:t>Illustrative response for Cybersecurity: evidence documented, limitations noted, and an accountable owner assigned.</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