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AIHE-O — Human Oversight and Accountability Workbook</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AIHE-O</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the accountability matrix to assign named human accountability before deployment. A = accountable for the decision; R = responsible for work; C = consulted; I = informed. Each activity should have one clearly identified accountable owner, even when responsibility is shared.</w:t>
      </w:r>
    </w:p>
    <w:p>
      <w:r>
        <w:t>Table O.1. human oversight and accountability responsibility assignment.</w:t>
      </w:r>
    </w:p>
    <w:p>
      <w:r>
        <w:t>Table O.2. human oversight and accountability escalation and authority record.</w:t>
      </w:r>
    </w:p>
    <w:p>
      <w:r>
        <w:t>Table O.3. human oversight and accountability governance summary.</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trPr>
        <w:tc>
          <w:tcPr>
            <w:tcW w:type="dxa" w:w="1397"/>
            <w:vAlign w:val="centre"/>
            <w:tcMar>
              <w:top w:w="80" w:type="dxa"/>
              <w:start w:w="80" w:type="dxa"/>
              <w:bottom w:w="80" w:type="dxa"/>
              <w:end w:w="80" w:type="dxa"/>
            </w:tcMar>
            <w:shd w:fill="F5F0E7"/>
          </w:tcPr>
          <w:p>
            <w:r>
              <w:rPr>
                <w:b/>
              </w:rPr>
              <w:t>Activity</w:t>
            </w:r>
          </w:p>
        </w:tc>
        <w:tc>
          <w:tcPr>
            <w:tcW w:type="dxa" w:w="1397"/>
            <w:vAlign w:val="centre"/>
            <w:tcMar>
              <w:top w:w="80" w:type="dxa"/>
              <w:start w:w="80" w:type="dxa"/>
              <w:bottom w:w="80" w:type="dxa"/>
              <w:end w:w="80" w:type="dxa"/>
            </w:tcMar>
            <w:shd w:fill="F5F0E7"/>
          </w:tcPr>
          <w:p>
            <w:r>
              <w:rPr>
                <w:b/>
              </w:rPr>
              <w:t>Board / executive</w:t>
            </w:r>
          </w:p>
        </w:tc>
        <w:tc>
          <w:tcPr>
            <w:tcW w:type="dxa" w:w="1397"/>
            <w:vAlign w:val="centre"/>
            <w:tcMar>
              <w:top w:w="80" w:type="dxa"/>
              <w:start w:w="80" w:type="dxa"/>
              <w:bottom w:w="80" w:type="dxa"/>
              <w:end w:w="80" w:type="dxa"/>
            </w:tcMar>
            <w:shd w:fill="F5F0E7"/>
          </w:tcPr>
          <w:p>
            <w:r>
              <w:rPr>
                <w:b/>
              </w:rPr>
              <w:t>Clinical lead</w:t>
            </w:r>
          </w:p>
        </w:tc>
        <w:tc>
          <w:tcPr>
            <w:tcW w:type="dxa" w:w="1397"/>
            <w:vAlign w:val="centre"/>
            <w:tcMar>
              <w:top w:w="80" w:type="dxa"/>
              <w:start w:w="80" w:type="dxa"/>
              <w:bottom w:w="80" w:type="dxa"/>
              <w:end w:w="80" w:type="dxa"/>
            </w:tcMar>
            <w:shd w:fill="F5F0E7"/>
          </w:tcPr>
          <w:p>
            <w:r>
              <w:rPr>
                <w:b/>
              </w:rPr>
              <w:t>Operations</w:t>
            </w:r>
          </w:p>
        </w:tc>
        <w:tc>
          <w:tcPr>
            <w:tcW w:type="dxa" w:w="1397"/>
            <w:vAlign w:val="centre"/>
            <w:tcMar>
              <w:top w:w="80" w:type="dxa"/>
              <w:start w:w="80" w:type="dxa"/>
              <w:bottom w:w="80" w:type="dxa"/>
              <w:end w:w="80" w:type="dxa"/>
            </w:tcMar>
            <w:shd w:fill="F5F0E7"/>
          </w:tcPr>
          <w:p>
            <w:r>
              <w:rPr>
                <w:b/>
              </w:rPr>
              <w:t>IT/data</w:t>
            </w:r>
          </w:p>
        </w:tc>
        <w:tc>
          <w:tcPr>
            <w:tcW w:type="dxa" w:w="1397"/>
            <w:vAlign w:val="centre"/>
            <w:tcMar>
              <w:top w:w="80" w:type="dxa"/>
              <w:start w:w="80" w:type="dxa"/>
              <w:bottom w:w="80" w:type="dxa"/>
              <w:end w:w="80" w:type="dxa"/>
            </w:tcMar>
            <w:shd w:fill="F5F0E7"/>
          </w:tcPr>
          <w:p>
            <w:r>
              <w:rPr>
                <w:b/>
              </w:rPr>
              <w:t>Economics/finance</w:t>
            </w:r>
          </w:p>
        </w:tc>
        <w:tc>
          <w:tcPr>
            <w:tcW w:type="dxa" w:w="1397"/>
            <w:vAlign w:val="centre"/>
            <w:tcMar>
              <w:top w:w="80" w:type="dxa"/>
              <w:start w:w="80" w:type="dxa"/>
              <w:bottom w:w="80" w:type="dxa"/>
              <w:end w:w="80" w:type="dxa"/>
            </w:tcMar>
            <w:shd w:fill="F5F0E7"/>
          </w:tcPr>
          <w:p>
            <w:r>
              <w:rPr>
                <w:b/>
              </w:rPr>
              <w:t>Ethics/privacy</w:t>
            </w:r>
          </w:p>
        </w:tc>
        <w:tc>
          <w:tcPr>
            <w:tcW w:type="dxa" w:w="1397"/>
            <w:vAlign w:val="centre"/>
            <w:tcMar>
              <w:top w:w="80" w:type="dxa"/>
              <w:start w:w="80" w:type="dxa"/>
              <w:bottom w:w="80" w:type="dxa"/>
              <w:end w:w="80" w:type="dxa"/>
            </w:tcMar>
            <w:shd w:fill="F5F0E7"/>
          </w:tcPr>
          <w:p>
            <w:r>
              <w:rPr>
                <w:b/>
              </w:rPr>
              <w:t>Procurement/legal</w:t>
            </w:r>
          </w:p>
        </w:tc>
        <w:tc>
          <w:tcPr>
            <w:tcW w:type="dxa" w:w="1397"/>
            <w:vAlign w:val="centre"/>
            <w:tcMar>
              <w:top w:w="80" w:type="dxa"/>
              <w:start w:w="80" w:type="dxa"/>
              <w:bottom w:w="80" w:type="dxa"/>
              <w:end w:w="80" w:type="dxa"/>
            </w:tcMar>
            <w:shd w:fill="F5F0E7"/>
          </w:tcPr>
          <w:p>
            <w:r>
              <w:rPr>
                <w:b/>
              </w:rPr>
              <w:t>Vendor</w:t>
            </w:r>
          </w:p>
        </w:tc>
        <w:tc>
          <w:tcPr>
            <w:tcW w:type="dxa" w:w="1397"/>
            <w:vAlign w:val="centre"/>
            <w:tcMar>
              <w:top w:w="80" w:type="dxa"/>
              <w:start w:w="80" w:type="dxa"/>
              <w:bottom w:w="80" w:type="dxa"/>
              <w:end w:w="80" w:type="dxa"/>
            </w:tcMar>
            <w:shd w:fill="F5F0E7"/>
          </w:tcPr>
          <w:p>
            <w:r>
              <w:rPr>
                <w:b/>
              </w:rPr>
              <w:t>Patient/public</w:t>
            </w:r>
          </w:p>
        </w:tc>
      </w:tr>
      <w:tr>
        <w:tc>
          <w:tcPr>
            <w:tcW w:type="dxa" w:w="1397"/>
            <w:vAlign w:val="centre"/>
            <w:tcMar>
              <w:top w:w="80" w:type="dxa"/>
              <w:start w:w="80" w:type="dxa"/>
              <w:bottom w:w="80" w:type="dxa"/>
              <w:end w:w="80" w:type="dxa"/>
            </w:tcMar>
          </w:tcPr>
          <w:p>
            <w:r>
              <w:t>Define problem and comparator</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Approve intended use and risk category</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Assess data and interoperability</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Appraise clinical and technical evidence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Conduct economic evaluation</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Assess ethics, equity, privacy, and trust</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Approve tender and contract</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Conduct local validation</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Approve pilot and training</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Monitor performance and incidents</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Approve updates or expansion</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Renew, restrict, replace, or retire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F5F0E7"/>
          </w:tcPr>
          <w:p>
            <w:r>
              <w:rPr>
                <w:b/>
              </w:rPr>
              <w:t>Trigger / decision</w:t>
            </w:r>
          </w:p>
        </w:tc>
        <w:tc>
          <w:tcPr>
            <w:tcW w:type="dxa" w:w="1728"/>
            <w:vAlign w:val="centre"/>
            <w:tcMar>
              <w:top w:w="80" w:type="dxa"/>
              <w:start w:w="80" w:type="dxa"/>
              <w:bottom w:w="80" w:type="dxa"/>
              <w:end w:w="80" w:type="dxa"/>
            </w:tcMar>
            <w:shd w:fill="F5F0E7"/>
          </w:tcPr>
          <w:p>
            <w:r>
              <w:rPr>
                <w:b/>
              </w:rPr>
              <w:t>Primary owner</w:t>
            </w:r>
          </w:p>
        </w:tc>
        <w:tc>
          <w:tcPr>
            <w:tcW w:type="dxa" w:w="1728"/>
            <w:vAlign w:val="centre"/>
            <w:tcMar>
              <w:top w:w="80" w:type="dxa"/>
              <w:start w:w="80" w:type="dxa"/>
              <w:bottom w:w="80" w:type="dxa"/>
              <w:end w:w="80" w:type="dxa"/>
            </w:tcMar>
            <w:shd w:fill="F5F0E7"/>
          </w:tcPr>
          <w:p>
            <w:r>
              <w:rPr>
                <w:b/>
              </w:rPr>
              <w:t>Deputy</w:t>
            </w:r>
          </w:p>
        </w:tc>
        <w:tc>
          <w:tcPr>
            <w:tcW w:type="dxa" w:w="1728"/>
            <w:vAlign w:val="centre"/>
            <w:tcMar>
              <w:top w:w="80" w:type="dxa"/>
              <w:start w:w="80" w:type="dxa"/>
              <w:bottom w:w="80" w:type="dxa"/>
              <w:end w:w="80" w:type="dxa"/>
            </w:tcMar>
            <w:shd w:fill="F5F0E7"/>
          </w:tcPr>
          <w:p>
            <w:r>
              <w:rPr>
                <w:b/>
              </w:rPr>
              <w:t>Response time</w:t>
            </w:r>
          </w:p>
        </w:tc>
        <w:tc>
          <w:tcPr>
            <w:tcW w:type="dxa" w:w="1728"/>
            <w:vAlign w:val="centre"/>
            <w:tcMar>
              <w:top w:w="80" w:type="dxa"/>
              <w:start w:w="80" w:type="dxa"/>
              <w:bottom w:w="80" w:type="dxa"/>
              <w:end w:w="80" w:type="dxa"/>
            </w:tcMar>
            <w:shd w:fill="F5F0E7"/>
          </w:tcPr>
          <w:p>
            <w:r>
              <w:rPr>
                <w:b/>
              </w:rPr>
              <w:t>Escalation body</w:t>
            </w:r>
          </w:p>
        </w:tc>
        <w:tc>
          <w:tcPr>
            <w:tcW w:type="dxa" w:w="1728"/>
            <w:vAlign w:val="centre"/>
            <w:tcMar>
              <w:top w:w="80" w:type="dxa"/>
              <w:start w:w="80" w:type="dxa"/>
              <w:bottom w:w="80" w:type="dxa"/>
              <w:end w:w="80" w:type="dxa"/>
            </w:tcMar>
            <w:shd w:fill="F5F0E7"/>
          </w:tcPr>
          <w:p>
            <w:r>
              <w:rPr>
                <w:b/>
              </w:rPr>
              <w:t>Communication duty</w:t>
            </w:r>
          </w:p>
        </w:tc>
      </w:tr>
      <w:tr>
        <w:tc>
          <w:tcPr>
            <w:tcW w:type="dxa" w:w="1728"/>
            <w:vAlign w:val="centre"/>
            <w:tcMar>
              <w:top w:w="80" w:type="dxa"/>
              <w:start w:w="80" w:type="dxa"/>
              <w:bottom w:w="80" w:type="dxa"/>
              <w:end w:w="80" w:type="dxa"/>
            </w:tcMar>
          </w:tcPr>
          <w:p>
            <w:r>
              <w:t>Serious patient-safety incident</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Serious patient-safety incident: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Material subgroup disparity</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Material subgroup disparity: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Cybersecurity or privacy event</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Cybersecurity or privacy event: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Model or software update</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Model or software update: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Budget / contract threshold breach</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Budget / contract threshold breach: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Temporary pause or restricted use</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Temporary pause or restricted use: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Restart authorization</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Restart authorization: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Retirement decision</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Retirement decision: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Field</w:t>
            </w:r>
          </w:p>
        </w:tc>
        <w:tc>
          <w:tcPr>
            <w:tcW w:type="dxa" w:w="5184"/>
            <w:vAlign w:val="centre"/>
            <w:tcMar>
              <w:top w:w="80" w:type="dxa"/>
              <w:start w:w="80" w:type="dxa"/>
              <w:bottom w:w="80" w:type="dxa"/>
              <w:end w:w="80" w:type="dxa"/>
            </w:tcMar>
            <w:shd w:fill="F5F0E7"/>
          </w:tcPr>
          <w:p>
            <w:r>
              <w:rPr>
                <w:b/>
              </w:rPr>
              <w:t>Guidance / response</w:t>
            </w:r>
          </w:p>
        </w:tc>
      </w:tr>
      <w:tr>
        <w:tc>
          <w:tcPr>
            <w:tcW w:type="dxa" w:w="5184"/>
            <w:vAlign w:val="centre"/>
            <w:tcMar>
              <w:top w:w="80" w:type="dxa"/>
              <w:start w:w="80" w:type="dxa"/>
              <w:bottom w:w="80" w:type="dxa"/>
              <w:end w:w="80" w:type="dxa"/>
            </w:tcMar>
          </w:tcPr>
          <w:p>
            <w:r>
              <w:t>Named lifecycle owner</w:t>
            </w:r>
          </w:p>
        </w:tc>
        <w:tc>
          <w:tcPr>
            <w:tcW w:type="dxa" w:w="5184"/>
            <w:vAlign w:val="centre"/>
            <w:tcMar>
              <w:top w:w="80" w:type="dxa"/>
              <w:start w:w="80" w:type="dxa"/>
              <w:bottom w:w="80" w:type="dxa"/>
              <w:end w:w="80" w:type="dxa"/>
            </w:tcMar>
          </w:tcPr>
          <w:p>
            <w:r>
              <w:t>Illustrative response for Named lifecycle owner: evidence documented, limitations noted, and an accountable owner assigned.</w:t>
            </w:r>
          </w:p>
        </w:tc>
      </w:tr>
      <w:tr>
        <w:tc>
          <w:tcPr>
            <w:tcW w:type="dxa" w:w="5184"/>
            <w:vAlign w:val="centre"/>
            <w:tcMar>
              <w:top w:w="80" w:type="dxa"/>
              <w:start w:w="80" w:type="dxa"/>
              <w:bottom w:w="80" w:type="dxa"/>
              <w:end w:w="80" w:type="dxa"/>
            </w:tcMar>
          </w:tcPr>
          <w:p>
            <w:r>
              <w:t>Authority to pause use</w:t>
            </w:r>
          </w:p>
        </w:tc>
        <w:tc>
          <w:tcPr>
            <w:tcW w:type="dxa" w:w="5184"/>
            <w:vAlign w:val="centre"/>
            <w:tcMar>
              <w:top w:w="80" w:type="dxa"/>
              <w:start w:w="80" w:type="dxa"/>
              <w:bottom w:w="80" w:type="dxa"/>
              <w:end w:w="80" w:type="dxa"/>
            </w:tcMar>
          </w:tcPr>
          <w:p>
            <w:r>
              <w:t>Illustrative response for Authority to pause use: evidence documented, limitations noted, and an accountable owner assigned.</w:t>
            </w:r>
          </w:p>
        </w:tc>
      </w:tr>
      <w:tr>
        <w:tc>
          <w:tcPr>
            <w:tcW w:type="dxa" w:w="5184"/>
            <w:vAlign w:val="centre"/>
            <w:tcMar>
              <w:top w:w="80" w:type="dxa"/>
              <w:start w:w="80" w:type="dxa"/>
              <w:bottom w:w="80" w:type="dxa"/>
              <w:end w:w="80" w:type="dxa"/>
            </w:tcMar>
          </w:tcPr>
          <w:p>
            <w:r>
              <w:t>Authority to approve update</w:t>
            </w:r>
          </w:p>
        </w:tc>
        <w:tc>
          <w:tcPr>
            <w:tcW w:type="dxa" w:w="5184"/>
            <w:vAlign w:val="centre"/>
            <w:tcMar>
              <w:top w:w="80" w:type="dxa"/>
              <w:start w:w="80" w:type="dxa"/>
              <w:bottom w:w="80" w:type="dxa"/>
              <w:end w:w="80" w:type="dxa"/>
            </w:tcMar>
          </w:tcPr>
          <w:p>
            <w:r>
              <w:t>Illustrative response for Authority to approve update: evidence documented, limitations noted, and an accountable owner assigned.</w:t>
            </w:r>
          </w:p>
        </w:tc>
      </w:tr>
      <w:tr>
        <w:tc>
          <w:tcPr>
            <w:tcW w:type="dxa" w:w="5184"/>
            <w:vAlign w:val="centre"/>
            <w:tcMar>
              <w:top w:w="80" w:type="dxa"/>
              <w:start w:w="80" w:type="dxa"/>
              <w:bottom w:w="80" w:type="dxa"/>
              <w:end w:w="80" w:type="dxa"/>
            </w:tcMar>
          </w:tcPr>
          <w:p>
            <w:r>
              <w:t>Patient/public representation method</w:t>
            </w:r>
          </w:p>
        </w:tc>
        <w:tc>
          <w:tcPr>
            <w:tcW w:type="dxa" w:w="5184"/>
            <w:vAlign w:val="centre"/>
            <w:tcMar>
              <w:top w:w="80" w:type="dxa"/>
              <w:start w:w="80" w:type="dxa"/>
              <w:bottom w:w="80" w:type="dxa"/>
              <w:end w:w="80" w:type="dxa"/>
            </w:tcMar>
          </w:tcPr>
          <w:p>
            <w:r>
              <w:t>Illustrative response for Patient/public representation method: evidence documented, limitations noted, and an accountable owner assigned.</w:t>
            </w:r>
          </w:p>
        </w:tc>
      </w:tr>
      <w:tr>
        <w:tc>
          <w:tcPr>
            <w:tcW w:type="dxa" w:w="5184"/>
            <w:vAlign w:val="centre"/>
            <w:tcMar>
              <w:top w:w="80" w:type="dxa"/>
              <w:start w:w="80" w:type="dxa"/>
              <w:bottom w:w="80" w:type="dxa"/>
              <w:end w:w="80" w:type="dxa"/>
            </w:tcMar>
          </w:tcPr>
          <w:p>
            <w:r>
              <w:t>Vendor responsibility and limits</w:t>
            </w:r>
          </w:p>
        </w:tc>
        <w:tc>
          <w:tcPr>
            <w:tcW w:type="dxa" w:w="5184"/>
            <w:vAlign w:val="centre"/>
            <w:tcMar>
              <w:top w:w="80" w:type="dxa"/>
              <w:start w:w="80" w:type="dxa"/>
              <w:bottom w:w="80" w:type="dxa"/>
              <w:end w:w="80" w:type="dxa"/>
            </w:tcMar>
          </w:tcPr>
          <w:p>
            <w:r>
              <w:t>Illustrative response for Vendor responsibility and limits: evidence documented, limitations noted, and an accountable owner assigned.</w:t>
            </w:r>
          </w:p>
        </w:tc>
      </w:tr>
      <w:tr>
        <w:tc>
          <w:tcPr>
            <w:tcW w:type="dxa" w:w="5184"/>
            <w:vAlign w:val="centre"/>
            <w:tcMar>
              <w:top w:w="80" w:type="dxa"/>
              <w:start w:w="80" w:type="dxa"/>
              <w:bottom w:w="80" w:type="dxa"/>
              <w:end w:w="80" w:type="dxa"/>
            </w:tcMar>
          </w:tcPr>
          <w:p>
            <w:r>
              <w:t>Next governance review</w:t>
            </w:r>
          </w:p>
        </w:tc>
        <w:tc>
          <w:tcPr>
            <w:tcW w:type="dxa" w:w="5184"/>
            <w:vAlign w:val="centre"/>
            <w:tcMar>
              <w:top w:w="80" w:type="dxa"/>
              <w:start w:w="80" w:type="dxa"/>
              <w:bottom w:w="80" w:type="dxa"/>
              <w:end w:w="80" w:type="dxa"/>
            </w:tcMar>
          </w:tcPr>
          <w:p>
            <w:r>
              <w:t>Illustrative response for Next governance review: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