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Implementation Framework Selection Guide</w:t>
      </w:r>
    </w:p>
    <w:p>
      <w:pPr>
        <w:jc w:val="centre"/>
      </w:pPr>
      <w:r>
        <w:rPr>
          <w:b/>
          <w:color w:val="7A2334"/>
        </w:rPr>
        <w:t>AIHE-RG03</w:t>
      </w:r>
    </w:p>
    <w:p>
      <w:pPr>
        <w:spacing w:after="40"/>
      </w:pPr>
      <w:r>
        <w:rPr>
          <w:b/>
        </w:rPr>
        <w:t xml:space="preserve">Primary chapter: </w:t>
      </w:r>
      <w:r>
        <w:t>4 — Productivity, Work Redesign, and Implementation</w:t>
      </w:r>
    </w:p>
    <w:p>
      <w:pPr>
        <w:spacing w:after="40"/>
      </w:pPr>
      <w:r>
        <w:rPr>
          <w:b/>
        </w:rPr>
        <w:t xml:space="preserve">Additional chapter alignment: </w:t>
      </w:r>
      <w:r>
        <w:t>4, 11, 12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Select CFIR, NASSS-CAT, RE-AIM/PRISM, TAM/UTAUT, and mixed-method approaches according to the implementation question rather than name recognition.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</w:tblGrid>
      <w:tr>
        <w:trPr>
          <w:tblHeader w:val="true"/>
        </w:trPr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Implementation question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Candidate framework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Best use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Key constructs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Main limitation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Planned timing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Measure or data source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Decision triggered</w:t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Multilevel determinants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Updated CFIR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determinant framework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Barrier and facilitator assessment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Innovation, outer setting, inner setting, individuals, process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Not an outcome, economics or AI assurance framework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Technology complexity, abandonment, scale and sustainment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NASSS / NASSS-CAT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framework and assessment tool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Complexity and sustainability analysis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Condition, technology, value proposition, adopters, organization, context, adaptation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Requires separate clinical and economic evidence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Implementation outcomes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RE-AIM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outcome framework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Reach, effectiveness, adoption, implementation and maintenance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Five RE-AIM dimensions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Causal interpretation and measure validity still required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Context and sustainability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PRISM / RE-AIM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implementation and sustainability model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Link context, implementation, outcomes and adaptation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Intervention, recipients, implementation/sustainability infrastructure, external environment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Not AI-specific governance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Individual acceptance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TAM / UTAUT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acceptance theories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Usefulness, effort, social influence, facilitating conditions and intention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Acceptance constructs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Acceptance does not equal safe or effective use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Complex intervention development and evaluation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MRC guidance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Established guidance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Programme theory, context, evaluation, implementation and economics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Complex-intervention phases and uncertainties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  <w:t>Needs AI lifecycle adaptation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