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II — Organizational Performance, Workforce, and Quality</w:t>
      </w:r>
    </w:p>
    <w:p>
      <w:pPr>
        <w:pStyle w:val="Heading1"/>
      </w:pPr>
      <w:r>
        <w:t>AIHE-C01 — AI Quality-Control and Accreditation Evidence Plan</w:t>
      </w:r>
    </w:p>
    <w:p>
      <w:pPr>
        <w:spacing w:after="80"/>
      </w:pPr>
      <w:r>
        <w:rPr>
          <w:color w:val="877567"/>
          <w:sz w:val="20"/>
        </w:rPr>
        <w:t>Chapter 5: Quality Management, Accreditation, and Organizational Learning</w:t>
      </w:r>
    </w:p>
    <w:p>
      <w:r>
        <w:t>Integrate AI-enabled services into quality control, accreditation evidence, monitoring, thresholds, action, and closure.</w:t>
      </w:r>
    </w:p>
    <w:p>
      <w:r>
        <w:rPr>
          <w:rFonts w:ascii="Aptos" w:hAnsi="Aptos"/>
          <w:sz w:val="17"/>
        </w:rPr>
        <w:t>Resource: AIHE-C01  |  V1.0  |  Aligned chapters: 5, 10, 11,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94"/>
        <w:gridCol w:w="1862"/>
        <w:gridCol w:w="1862"/>
        <w:gridCol w:w="1862"/>
        <w:gridCol w:w="1862"/>
        <w:gridCol w:w="1862"/>
        <w:gridCol w:w="1862"/>
      </w:tblGrid>
      <w:tr>
        <w:trPr>
          <w:tblHeader/>
          <w:cantSplit/>
        </w:trPr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Quality domain or requirement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Signal, measure, definition, and source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System, data, and workflow version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Review frequency, reviewer, and triage rule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Control, clinical, or institutional threshold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Escalation, investigation, and corrective action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Effectiveness verification, closure authority, and learning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Technical reliability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Model and human–AI performance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Clinical safety and outcome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Workflow and professional practice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Patient experience and communication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Equity and access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Economic and resource value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Governance and documentation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II — Organizational Performance, Workforce, and Quality</w:t>
      </w:r>
    </w:p>
    <w:p>
      <w:pPr>
        <w:pStyle w:val="Heading1"/>
      </w:pPr>
      <w:r>
        <w:t>AIHE-C01 — AI Quality-Control and Accreditation Evidence Plan</w:t>
      </w:r>
    </w:p>
    <w:p>
      <w:pPr>
        <w:spacing w:after="80"/>
      </w:pPr>
      <w:r>
        <w:rPr>
          <w:color w:val="877567"/>
          <w:sz w:val="20"/>
        </w:rPr>
        <w:t>Chapter 5: Quality Management, Accreditation, and Organizational Learning</w:t>
      </w:r>
    </w:p>
    <w:p>
      <w:r>
        <w:t>Integrate AI-enabled services into quality control, accreditation evidence, monitoring, thresholds, action, and closure.</w:t>
      </w:r>
    </w:p>
    <w:p>
      <w:r>
        <w:rPr>
          <w:rFonts w:ascii="Aptos" w:hAnsi="Aptos"/>
          <w:sz w:val="17"/>
        </w:rPr>
        <w:t>Resource: AIHE-C01  |  V1.0  |  Aligned chapters: 5, 10, 11,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94"/>
        <w:gridCol w:w="1862"/>
        <w:gridCol w:w="1862"/>
        <w:gridCol w:w="1862"/>
        <w:gridCol w:w="1862"/>
        <w:gridCol w:w="1862"/>
        <w:gridCol w:w="1862"/>
      </w:tblGrid>
      <w:tr>
        <w:trPr>
          <w:tblHeader/>
          <w:cantSplit/>
        </w:trPr>
        <w:tc>
          <w:tcPr>
            <w:tcW w:type="dxa" w:w="279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Quality domain or requirement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Signal, measure, definition, and source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System, data, and workflow version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Review frequency, reviewer, and triage rule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Control, clinical, or institutional threshold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Escalation, investigation, and corrective action</w:t>
            </w:r>
          </w:p>
        </w:tc>
        <w:tc>
          <w:tcPr>
            <w:tcW w:type="dxa" w:w="1862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Effectiveness verification, closure authority, and learning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Technical reliability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Model and human–AI performance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Clinical safety and outcome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Workflow and professional practice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Patient experience and communication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Equity and access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Economic and resource value</w:t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Governance and documentation</w:t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862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