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AIHE-I — Health-System AI Indicator Library</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AIHE-I</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3: Human–AI Decision Systems and Managerial Action; Chapter 5: Quality Management, Accreditation, and Organizational Learning;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an indicator library that can be used when designing dashboards, implementation evaluations, and post-deployment monitoring plans. The indicators are illustrative and should be adapted to each hospital service, specialty, and national reporting context.</w:t>
      </w:r>
    </w:p>
    <w:p>
      <w:r>
        <w:t>Table I.1. Example indicator library for AI-supported hospital management</w:t>
      </w:r>
    </w:p>
    <w:p>
      <w:r>
        <w:t>Indicators should not be selected only because they are easy to measure. They should reflect the value hypothesis of the AI intervention. If the system is expected to reduce emergency department crowding, the dashboard should measure patient-flow indicators rather than only model performance. If the system is expected to improve discharge planning, the dashboard should include readmission, follow-up, and patient-experience indicators.</w:t>
      </w:r>
    </w:p>
    <w:p>
      <w:r>
        <w:t>Hospitals should combine outcome indicators with balancing indicators. A tool that reduces waiting time may create risk if patients are redirected inappropriately. A tool that reduces documentation time may create risk if clinicians spend less time thinking critically about the record. Balancing indicators protect against narrow interpretations of success.</w:t>
      </w:r>
    </w:p>
    <w:p>
      <w:r>
        <w:t>Indicator governance matters. Every indicator should have an owner, definition, data source, update frequency, and action threshold. If no person or committee is responsible for acting on a dashboard signal, the dashboard becomes a display rather than a management tool.</w:t>
      </w:r>
    </w:p>
    <w:p>
      <w:r>
        <w:t>AI monitoring indicators should be reviewed periodically. A tool may perform well after launch but degrade over time due to model drift, workflow changes, patient population changes, or data-definition changes. Indicators should therefore support lifecycle governance, not only initial implementation.</w:t>
      </w:r>
    </w:p>
    <w:p>
      <w:r>
        <w:t>In public hospitals, indicator selection should include equity. If benefits are concentrated among patients with high digital literacy or easy access to digital services, the hospital may unintentionally widen disparities. Equity indicators should therefore be treated as core performance measures rather than optional add-ons.</w:t>
      </w:r>
    </w:p>
    <w:p>
      <w:r>
        <w:t>Financial indicators should be interpreted carefully. A project may generate system-level savings while increasing costs for the hospital department that implements it. Conversely, a hospital may experience local savings while shifting costs to patients, caregivers, or other services. Economic evaluation should examine these distributional effects explicitly.</w:t>
      </w:r>
    </w:p>
    <w:p>
      <w:r>
        <w:t>A practical dashboard can organize indicators into five panels: patient outcomes, operational flow, workforce impact, economic value, and governance risk. This prevents the dashboard from becoming either a purely clinical tool or a purely financial tool. AI in public hospitals should be governed through a balanced view of value.</w:t>
      </w:r>
    </w:p>
    <w:p>
      <w:r>
        <w:t>The indicator library can be used during procurement. Vendors should be asked which indicators their system can support, which data are required, how performance is monitored, and how results can be exported for hospital evaluation. A vendor that cannot support meaningful monitoring creates a long-term governance risk.</w:t>
      </w:r>
    </w:p>
    <w:p>
      <w:r>
        <w:t>The indicator library can also be used during decommissioning. If an AI tool fails to improve priority indicators, creates unacceptable balancing harms, or cannot be monitored reliably, the hospital should consider modification or retirement. Decommissioning is not failure; it is part of responsible lifecycle management.</w:t>
      </w:r>
    </w:p>
    <w:p>
      <w:r>
        <w:t>Finally, indicators should be communicated in a way that supports learning rather than blame. Staff are more likely to engage with AI monitoring when indicators are used to improve systems, identify barriers, and support patient care rather than to punish individuals for complex organizational problems.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Domain</w:t>
            </w:r>
          </w:p>
        </w:tc>
        <w:tc>
          <w:tcPr>
            <w:tcW w:type="dxa" w:w="2592"/>
            <w:vAlign w:val="centre"/>
            <w:tcMar>
              <w:top w:w="80" w:type="dxa"/>
              <w:start w:w="80" w:type="dxa"/>
              <w:bottom w:w="80" w:type="dxa"/>
              <w:end w:w="80" w:type="dxa"/>
            </w:tcMar>
            <w:shd w:fill="F5F0E7"/>
          </w:tcPr>
          <w:p>
            <w:r>
              <w:rPr>
                <w:b/>
              </w:rPr>
              <w:t>Indicator</w:t>
            </w:r>
          </w:p>
        </w:tc>
        <w:tc>
          <w:tcPr>
            <w:tcW w:type="dxa" w:w="2592"/>
            <w:vAlign w:val="centre"/>
            <w:tcMar>
              <w:top w:w="80" w:type="dxa"/>
              <w:start w:w="80" w:type="dxa"/>
              <w:bottom w:w="80" w:type="dxa"/>
              <w:end w:w="80" w:type="dxa"/>
            </w:tcMar>
            <w:shd w:fill="F5F0E7"/>
          </w:tcPr>
          <w:p>
            <w:r>
              <w:rPr>
                <w:b/>
              </w:rPr>
              <w:t>Purpose</w:t>
            </w:r>
          </w:p>
        </w:tc>
        <w:tc>
          <w:tcPr>
            <w:tcW w:type="dxa" w:w="2592"/>
            <w:vAlign w:val="centre"/>
            <w:tcMar>
              <w:top w:w="80" w:type="dxa"/>
              <w:start w:w="80" w:type="dxa"/>
              <w:bottom w:w="80" w:type="dxa"/>
              <w:end w:w="80" w:type="dxa"/>
            </w:tcMar>
            <w:shd w:fill="F5F0E7"/>
          </w:tcPr>
          <w:p>
            <w:r>
              <w:rPr>
                <w:b/>
              </w:rPr>
              <w:t>Possible balancing indicator</w:t>
            </w:r>
          </w:p>
        </w:tc>
      </w:tr>
      <w:tr>
        <w:tc>
          <w:tcPr>
            <w:tcW w:type="dxa" w:w="2592"/>
            <w:vAlign w:val="centre"/>
            <w:tcMar>
              <w:top w:w="80" w:type="dxa"/>
              <w:start w:w="80" w:type="dxa"/>
              <w:bottom w:w="80" w:type="dxa"/>
              <w:end w:w="80" w:type="dxa"/>
            </w:tcMar>
          </w:tcPr>
          <w:p>
            <w:r>
              <w:t>Access</w:t>
            </w:r>
          </w:p>
        </w:tc>
        <w:tc>
          <w:tcPr>
            <w:tcW w:type="dxa" w:w="2592"/>
            <w:vAlign w:val="centre"/>
            <w:tcMar>
              <w:top w:w="80" w:type="dxa"/>
              <w:start w:w="80" w:type="dxa"/>
              <w:bottom w:w="80" w:type="dxa"/>
              <w:end w:w="80" w:type="dxa"/>
            </w:tcMar>
          </w:tcPr>
          <w:p>
            <w:r>
              <w:t>Waiting time by service and urgency level</w:t>
            </w:r>
          </w:p>
        </w:tc>
        <w:tc>
          <w:tcPr>
            <w:tcW w:type="dxa" w:w="2592"/>
            <w:vAlign w:val="centre"/>
            <w:tcMar>
              <w:top w:w="80" w:type="dxa"/>
              <w:start w:w="80" w:type="dxa"/>
              <w:bottom w:w="80" w:type="dxa"/>
              <w:end w:w="80" w:type="dxa"/>
            </w:tcMar>
          </w:tcPr>
          <w:p>
            <w:r>
              <w:t>Assess whether AI improves timely access</w:t>
            </w:r>
          </w:p>
        </w:tc>
        <w:tc>
          <w:tcPr>
            <w:tcW w:type="dxa" w:w="2592"/>
            <w:vAlign w:val="centre"/>
            <w:tcMar>
              <w:top w:w="80" w:type="dxa"/>
              <w:start w:w="80" w:type="dxa"/>
              <w:bottom w:w="80" w:type="dxa"/>
              <w:end w:w="80" w:type="dxa"/>
            </w:tcMar>
          </w:tcPr>
          <w:p>
            <w:r>
              <w:t>Number of patients redirected without clinical review</w:t>
            </w:r>
          </w:p>
        </w:tc>
      </w:tr>
      <w:tr>
        <w:tc>
          <w:tcPr>
            <w:tcW w:type="dxa" w:w="2592"/>
            <w:vAlign w:val="centre"/>
            <w:tcMar>
              <w:top w:w="80" w:type="dxa"/>
              <w:start w:w="80" w:type="dxa"/>
              <w:bottom w:w="80" w:type="dxa"/>
              <w:end w:w="80" w:type="dxa"/>
            </w:tcMar>
          </w:tcPr>
          <w:p>
            <w:r>
              <w:t>Patient flow</w:t>
            </w:r>
          </w:p>
        </w:tc>
        <w:tc>
          <w:tcPr>
            <w:tcW w:type="dxa" w:w="2592"/>
            <w:vAlign w:val="centre"/>
            <w:tcMar>
              <w:top w:w="80" w:type="dxa"/>
              <w:start w:w="80" w:type="dxa"/>
              <w:bottom w:w="80" w:type="dxa"/>
              <w:end w:w="80" w:type="dxa"/>
            </w:tcMar>
          </w:tcPr>
          <w:p>
            <w:r>
              <w:t>Emergency department boarding time</w:t>
            </w:r>
          </w:p>
        </w:tc>
        <w:tc>
          <w:tcPr>
            <w:tcW w:type="dxa" w:w="2592"/>
            <w:vAlign w:val="centre"/>
            <w:tcMar>
              <w:top w:w="80" w:type="dxa"/>
              <w:start w:w="80" w:type="dxa"/>
              <w:bottom w:w="80" w:type="dxa"/>
              <w:end w:w="80" w:type="dxa"/>
            </w:tcMar>
          </w:tcPr>
          <w:p>
            <w:r>
              <w:t>Assess bottlenecks between ED and inpatient care</w:t>
            </w:r>
          </w:p>
        </w:tc>
        <w:tc>
          <w:tcPr>
            <w:tcW w:type="dxa" w:w="2592"/>
            <w:vAlign w:val="centre"/>
            <w:tcMar>
              <w:top w:w="80" w:type="dxa"/>
              <w:start w:w="80" w:type="dxa"/>
              <w:bottom w:w="80" w:type="dxa"/>
              <w:end w:w="80" w:type="dxa"/>
            </w:tcMar>
          </w:tcPr>
          <w:p>
            <w:r>
              <w:t>Premature discharge or reattendance</w:t>
            </w:r>
          </w:p>
        </w:tc>
      </w:tr>
      <w:tr>
        <w:tc>
          <w:tcPr>
            <w:tcW w:type="dxa" w:w="2592"/>
            <w:vAlign w:val="centre"/>
            <w:tcMar>
              <w:top w:w="80" w:type="dxa"/>
              <w:start w:w="80" w:type="dxa"/>
              <w:bottom w:w="80" w:type="dxa"/>
              <w:end w:w="80" w:type="dxa"/>
            </w:tcMar>
          </w:tcPr>
          <w:p>
            <w:r>
              <w:t>Quality</w:t>
            </w:r>
          </w:p>
        </w:tc>
        <w:tc>
          <w:tcPr>
            <w:tcW w:type="dxa" w:w="2592"/>
            <w:vAlign w:val="centre"/>
            <w:tcMar>
              <w:top w:w="80" w:type="dxa"/>
              <w:start w:w="80" w:type="dxa"/>
              <w:bottom w:w="80" w:type="dxa"/>
              <w:end w:w="80" w:type="dxa"/>
            </w:tcMar>
          </w:tcPr>
          <w:p>
            <w:r>
              <w:t>30-day readmission rate</w:t>
            </w:r>
          </w:p>
        </w:tc>
        <w:tc>
          <w:tcPr>
            <w:tcW w:type="dxa" w:w="2592"/>
            <w:vAlign w:val="centre"/>
            <w:tcMar>
              <w:top w:w="80" w:type="dxa"/>
              <w:start w:w="80" w:type="dxa"/>
              <w:bottom w:w="80" w:type="dxa"/>
              <w:end w:w="80" w:type="dxa"/>
            </w:tcMar>
          </w:tcPr>
          <w:p>
            <w:r>
              <w:t>Assess whether risk prediction and follow-up improve continuity</w:t>
            </w:r>
          </w:p>
        </w:tc>
        <w:tc>
          <w:tcPr>
            <w:tcW w:type="dxa" w:w="2592"/>
            <w:vAlign w:val="centre"/>
            <w:tcMar>
              <w:top w:w="80" w:type="dxa"/>
              <w:start w:w="80" w:type="dxa"/>
              <w:bottom w:w="80" w:type="dxa"/>
              <w:end w:w="80" w:type="dxa"/>
            </w:tcMar>
          </w:tcPr>
          <w:p>
            <w:r>
              <w:t>Increased post-discharge workload</w:t>
            </w:r>
          </w:p>
        </w:tc>
      </w:tr>
      <w:tr>
        <w:tc>
          <w:tcPr>
            <w:tcW w:type="dxa" w:w="2592"/>
            <w:vAlign w:val="centre"/>
            <w:tcMar>
              <w:top w:w="80" w:type="dxa"/>
              <w:start w:w="80" w:type="dxa"/>
              <w:bottom w:w="80" w:type="dxa"/>
              <w:end w:w="80" w:type="dxa"/>
            </w:tcMar>
          </w:tcPr>
          <w:p>
            <w:r>
              <w:t>Safety</w:t>
            </w:r>
          </w:p>
        </w:tc>
        <w:tc>
          <w:tcPr>
            <w:tcW w:type="dxa" w:w="2592"/>
            <w:vAlign w:val="centre"/>
            <w:tcMar>
              <w:top w:w="80" w:type="dxa"/>
              <w:start w:w="80" w:type="dxa"/>
              <w:bottom w:w="80" w:type="dxa"/>
              <w:end w:w="80" w:type="dxa"/>
            </w:tcMar>
          </w:tcPr>
          <w:p>
            <w:r>
              <w:t>Adverse event detection rate</w:t>
            </w:r>
          </w:p>
        </w:tc>
        <w:tc>
          <w:tcPr>
            <w:tcW w:type="dxa" w:w="2592"/>
            <w:vAlign w:val="centre"/>
            <w:tcMar>
              <w:top w:w="80" w:type="dxa"/>
              <w:start w:w="80" w:type="dxa"/>
              <w:bottom w:w="80" w:type="dxa"/>
              <w:end w:w="80" w:type="dxa"/>
            </w:tcMar>
          </w:tcPr>
          <w:p>
            <w:r>
              <w:t>Assess whether analytics improve safety surveillance</w:t>
            </w:r>
          </w:p>
        </w:tc>
        <w:tc>
          <w:tcPr>
            <w:tcW w:type="dxa" w:w="2592"/>
            <w:vAlign w:val="centre"/>
            <w:tcMar>
              <w:top w:w="80" w:type="dxa"/>
              <w:start w:w="80" w:type="dxa"/>
              <w:bottom w:w="80" w:type="dxa"/>
              <w:end w:w="80" w:type="dxa"/>
            </w:tcMar>
          </w:tcPr>
          <w:p>
            <w:r>
              <w:t>False positives and investigation burden</w:t>
            </w:r>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tcPr>
          <w:p>
            <w:r>
              <w:t>Documentation time per encounter</w:t>
            </w:r>
          </w:p>
        </w:tc>
        <w:tc>
          <w:tcPr>
            <w:tcW w:type="dxa" w:w="2592"/>
            <w:vAlign w:val="centre"/>
            <w:tcMar>
              <w:top w:w="80" w:type="dxa"/>
              <w:start w:w="80" w:type="dxa"/>
              <w:bottom w:w="80" w:type="dxa"/>
              <w:end w:w="80" w:type="dxa"/>
            </w:tcMar>
          </w:tcPr>
          <w:p>
            <w:r>
              <w:t>Assess productivity effect of AI documentation</w:t>
            </w:r>
          </w:p>
        </w:tc>
        <w:tc>
          <w:tcPr>
            <w:tcW w:type="dxa" w:w="2592"/>
            <w:vAlign w:val="centre"/>
            <w:tcMar>
              <w:top w:w="80" w:type="dxa"/>
              <w:start w:w="80" w:type="dxa"/>
              <w:bottom w:w="80" w:type="dxa"/>
              <w:end w:w="80" w:type="dxa"/>
            </w:tcMar>
          </w:tcPr>
          <w:p>
            <w:r>
              <w:t>Time spent correcting editorially prepared text</w:t>
            </w:r>
          </w:p>
        </w:tc>
      </w:tr>
      <w:tr>
        <w:tc>
          <w:tcPr>
            <w:tcW w:type="dxa" w:w="2592"/>
            <w:vAlign w:val="centre"/>
            <w:tcMar>
              <w:top w:w="80" w:type="dxa"/>
              <w:start w:w="80" w:type="dxa"/>
              <w:bottom w:w="80" w:type="dxa"/>
              <w:end w:w="80" w:type="dxa"/>
            </w:tcMar>
          </w:tcPr>
          <w:p>
            <w:r>
              <w:t>Finance</w:t>
            </w:r>
          </w:p>
        </w:tc>
        <w:tc>
          <w:tcPr>
            <w:tcW w:type="dxa" w:w="2592"/>
            <w:vAlign w:val="centre"/>
            <w:tcMar>
              <w:top w:w="80" w:type="dxa"/>
              <w:start w:w="80" w:type="dxa"/>
              <w:bottom w:w="80" w:type="dxa"/>
              <w:end w:w="80" w:type="dxa"/>
            </w:tcMar>
          </w:tcPr>
          <w:p>
            <w:r>
              <w:t>Cost per avoided event</w:t>
            </w:r>
          </w:p>
        </w:tc>
        <w:tc>
          <w:tcPr>
            <w:tcW w:type="dxa" w:w="2592"/>
            <w:vAlign w:val="centre"/>
            <w:tcMar>
              <w:top w:w="80" w:type="dxa"/>
              <w:start w:w="80" w:type="dxa"/>
              <w:bottom w:w="80" w:type="dxa"/>
              <w:end w:w="80" w:type="dxa"/>
            </w:tcMar>
          </w:tcPr>
          <w:p>
            <w:r>
              <w:t>Connect economic evaluation to measurable outcomes</w:t>
            </w:r>
          </w:p>
        </w:tc>
        <w:tc>
          <w:tcPr>
            <w:tcW w:type="dxa" w:w="2592"/>
            <w:vAlign w:val="centre"/>
            <w:tcMar>
              <w:top w:w="80" w:type="dxa"/>
              <w:start w:w="80" w:type="dxa"/>
              <w:bottom w:w="80" w:type="dxa"/>
              <w:end w:w="80" w:type="dxa"/>
            </w:tcMar>
          </w:tcPr>
          <w:p>
            <w:r>
              <w:t>Costs shifted to another department</w:t>
            </w:r>
          </w:p>
        </w:tc>
      </w:tr>
      <w:tr>
        <w:tc>
          <w:tcPr>
            <w:tcW w:type="dxa" w:w="2592"/>
            <w:vAlign w:val="centre"/>
            <w:tcMar>
              <w:top w:w="80" w:type="dxa"/>
              <w:start w:w="80" w:type="dxa"/>
              <w:bottom w:w="80" w:type="dxa"/>
              <w:end w:w="80" w:type="dxa"/>
            </w:tcMar>
          </w:tcPr>
          <w:p>
            <w:r>
              <w:t>Equity</w:t>
            </w:r>
          </w:p>
        </w:tc>
        <w:tc>
          <w:tcPr>
            <w:tcW w:type="dxa" w:w="2592"/>
            <w:vAlign w:val="centre"/>
            <w:tcMar>
              <w:top w:w="80" w:type="dxa"/>
              <w:start w:w="80" w:type="dxa"/>
              <w:bottom w:w="80" w:type="dxa"/>
              <w:end w:w="80" w:type="dxa"/>
            </w:tcMar>
          </w:tcPr>
          <w:p>
            <w:r>
              <w:t>Tool use and benefit by patient subgroup</w:t>
            </w:r>
          </w:p>
        </w:tc>
        <w:tc>
          <w:tcPr>
            <w:tcW w:type="dxa" w:w="2592"/>
            <w:vAlign w:val="centre"/>
            <w:tcMar>
              <w:top w:w="80" w:type="dxa"/>
              <w:start w:w="80" w:type="dxa"/>
              <w:bottom w:w="80" w:type="dxa"/>
              <w:end w:w="80" w:type="dxa"/>
            </w:tcMar>
          </w:tcPr>
          <w:p>
            <w:r>
              <w:t>Detect unequal access or performance</w:t>
            </w:r>
          </w:p>
        </w:tc>
        <w:tc>
          <w:tcPr>
            <w:tcW w:type="dxa" w:w="2592"/>
            <w:vAlign w:val="centre"/>
            <w:tcMar>
              <w:top w:w="80" w:type="dxa"/>
              <w:start w:w="80" w:type="dxa"/>
              <w:bottom w:w="80" w:type="dxa"/>
              <w:end w:w="80" w:type="dxa"/>
            </w:tcMar>
          </w:tcPr>
          <w:p>
            <w:r>
              <w:t>Digital exclusion by age, rurality, language, or disability</w:t>
            </w:r>
          </w:p>
        </w:tc>
      </w:tr>
      <w:tr>
        <w:tc>
          <w:tcPr>
            <w:tcW w:type="dxa" w:w="2592"/>
            <w:vAlign w:val="centre"/>
            <w:tcMar>
              <w:top w:w="80" w:type="dxa"/>
              <w:start w:w="80" w:type="dxa"/>
              <w:bottom w:w="80" w:type="dxa"/>
              <w:end w:w="80" w:type="dxa"/>
            </w:tcMar>
          </w:tcPr>
          <w:p>
            <w:r>
              <w:t>Trust</w:t>
            </w:r>
          </w:p>
        </w:tc>
        <w:tc>
          <w:tcPr>
            <w:tcW w:type="dxa" w:w="2592"/>
            <w:vAlign w:val="centre"/>
            <w:tcMar>
              <w:top w:w="80" w:type="dxa"/>
              <w:start w:w="80" w:type="dxa"/>
              <w:bottom w:w="80" w:type="dxa"/>
              <w:end w:w="80" w:type="dxa"/>
            </w:tcMar>
          </w:tcPr>
          <w:p>
            <w:r>
              <w:t>Patient complaints related to digital access</w:t>
            </w:r>
          </w:p>
        </w:tc>
        <w:tc>
          <w:tcPr>
            <w:tcW w:type="dxa" w:w="2592"/>
            <w:vAlign w:val="centre"/>
            <w:tcMar>
              <w:top w:w="80" w:type="dxa"/>
              <w:start w:w="80" w:type="dxa"/>
              <w:bottom w:w="80" w:type="dxa"/>
              <w:end w:w="80" w:type="dxa"/>
            </w:tcMar>
          </w:tcPr>
          <w:p>
            <w:r>
              <w:t>Monitor acceptability and communication</w:t>
            </w:r>
          </w:p>
        </w:tc>
        <w:tc>
          <w:tcPr>
            <w:tcW w:type="dxa" w:w="2592"/>
            <w:vAlign w:val="centre"/>
            <w:tcMar>
              <w:top w:w="80" w:type="dxa"/>
              <w:start w:w="80" w:type="dxa"/>
              <w:bottom w:w="80" w:type="dxa"/>
              <w:end w:w="80" w:type="dxa"/>
            </w:tcMar>
          </w:tcPr>
          <w:p>
            <w:r>
              <w:t>Reduced access to human support</w:t>
            </w:r>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tcPr>
          <w:p>
            <w:r>
              <w:t>Number and severity of AI-related security incidents</w:t>
            </w:r>
          </w:p>
        </w:tc>
        <w:tc>
          <w:tcPr>
            <w:tcW w:type="dxa" w:w="2592"/>
            <w:vAlign w:val="centre"/>
            <w:tcMar>
              <w:top w:w="80" w:type="dxa"/>
              <w:start w:w="80" w:type="dxa"/>
              <w:bottom w:w="80" w:type="dxa"/>
              <w:end w:w="80" w:type="dxa"/>
            </w:tcMar>
          </w:tcPr>
          <w:p>
            <w:r>
              <w:t>Monitor resilience and risk exposure</w:t>
            </w:r>
          </w:p>
        </w:tc>
        <w:tc>
          <w:tcPr>
            <w:tcW w:type="dxa" w:w="2592"/>
            <w:vAlign w:val="centre"/>
            <w:tcMar>
              <w:top w:w="80" w:type="dxa"/>
              <w:start w:w="80" w:type="dxa"/>
              <w:bottom w:w="80" w:type="dxa"/>
              <w:end w:w="80" w:type="dxa"/>
            </w:tcMar>
          </w:tcPr>
          <w:p>
            <w:r>
              <w:t>Workflow disruption from security controls</w:t>
            </w:r>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tcPr>
          <w:p>
            <w:r>
              <w:t>Percentage of AI systems with current review date</w:t>
            </w:r>
          </w:p>
        </w:tc>
        <w:tc>
          <w:tcPr>
            <w:tcW w:type="dxa" w:w="2592"/>
            <w:vAlign w:val="centre"/>
            <w:tcMar>
              <w:top w:w="80" w:type="dxa"/>
              <w:start w:w="80" w:type="dxa"/>
              <w:bottom w:w="80" w:type="dxa"/>
              <w:end w:w="80" w:type="dxa"/>
            </w:tcMar>
          </w:tcPr>
          <w:p>
            <w:r>
              <w:t>Maintain lifecycle accountability</w:t>
            </w:r>
          </w:p>
        </w:tc>
        <w:tc>
          <w:tcPr>
            <w:tcW w:type="dxa" w:w="2592"/>
            <w:vAlign w:val="centre"/>
            <w:tcMar>
              <w:top w:w="80" w:type="dxa"/>
              <w:start w:w="80" w:type="dxa"/>
              <w:bottom w:w="80" w:type="dxa"/>
              <w:end w:w="80" w:type="dxa"/>
            </w:tcMar>
          </w:tcPr>
          <w:p>
            <w:r>
              <w:t>Administrative burden of governance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