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AIHE-EX17 — AI Pricing and Contract Scenario Record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6: Lifecycle Cost, Pricing, and Benefit Realization; Chapter 9: Problem-First Procurement and Vendor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04: 04_Economics_HTA_Pricing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Model base and variable fees in clinically legible units, cap exposure, price support explicitly, and link renewal to realized value.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Express pricing in units that clinical, operational, procurement, and finance teams can forecast and audit. Opaque token or compute pricing should be translated into budgetable activity units.</w:t>
      </w:r>
    </w:p>
    <w:p>
      <w:pPr>
        <w:pStyle w:val="Heading1"/>
        <w:keepNext/>
      </w:pPr>
      <w:r>
        <w:t>Pricing architecture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Pricing element</w:t>
            </w:r>
          </w:p>
        </w:tc>
        <w:tc>
          <w:tcPr>
            <w:tcW w:type="dxa" w:w="324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specification</w:t>
            </w:r>
          </w:p>
        </w:tc>
        <w:tc>
          <w:tcPr>
            <w:tcW w:type="dxa" w:w="28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Proposed term or evidence</w:t>
            </w:r>
          </w:p>
        </w:tc>
        <w:tc>
          <w:tcPr>
            <w:tcW w:type="dxa" w:w="27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Gap or negotiation position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Base fee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Platform, maintenance, standard updates, security, and routine support included.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180,000 annually.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Clarify support hours and response times.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Variable unit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Patients, tests, episodes, encounters, sites, or other clinically legible unit.</w:t>
            </w:r>
          </w:p>
        </w:tc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2.20 per completed encounter.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Exclude test and failed transactions.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Volume bands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Low, expected, and high bands with unit-price changes.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0–60k; 60–100k; &gt;100k encounters.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Reduce unit price above 100k.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Expenditure cap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Annual ceiling, overage rule, and approval authority.</w:t>
            </w:r>
          </w:p>
        </w:tc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430,000 all-in cap.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automatic overage.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Integration and implementation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Interfaces, data preparation, configuration, validation, and project support.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95,000 fixed.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Tie payment to acceptance milestones.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 and change support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Initial and refresher training, workflow redesign, and materials.</w:t>
            </w:r>
          </w:p>
        </w:tc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Included for 500 users.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Price additional sites in advance.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assurance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Logs, dashboards, performance data, incident support, and audit cooperation.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35,000 annually.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Require exportable monitoring data.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Updates and material change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Notice, evidence, revalidation, rollback, and costs.</w:t>
            </w:r>
          </w:p>
        </w:tc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Routine updates included.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Material changes require approval and fixed price.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Escalation and indexation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Index, cap, notice period, and prohibited unilateral change.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CPI capped at 3%.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new module fee without amendment.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Exit and continuity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export, transition, deletion, archive, fallback, and assistance.</w:t>
            </w:r>
          </w:p>
        </w:tc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90 days included.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Add source-format export and continuity test.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condition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Locally verified value, safety, equity, auditability, and monitoring capacity.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Annual conditional renewal.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Define minimum value and risk thresholds.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Price-volume scenarios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rPr>
          <w:tblHeader w:val="true"/>
        </w:trPr>
        <w:tc>
          <w:tcPr>
            <w:tcW w:type="dxa" w:w="115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12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Eligible volume</w:t>
            </w:r>
          </w:p>
        </w:tc>
        <w:tc>
          <w:tcPr>
            <w:tcW w:type="dxa" w:w="9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Adoption</w:t>
            </w:r>
          </w:p>
        </w:tc>
        <w:tc>
          <w:tcPr>
            <w:tcW w:type="dxa" w:w="12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Used volume</w:t>
            </w:r>
          </w:p>
        </w:tc>
        <w:tc>
          <w:tcPr>
            <w:tcW w:type="dxa" w:w="12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 fee</w:t>
            </w:r>
          </w:p>
        </w:tc>
        <w:tc>
          <w:tcPr>
            <w:tcW w:type="dxa" w:w="129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Variable fee</w:t>
            </w:r>
          </w:p>
        </w:tc>
        <w:tc>
          <w:tcPr>
            <w:tcW w:type="dxa" w:w="16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Integration/support</w:t>
            </w:r>
          </w:p>
        </w:tc>
        <w:tc>
          <w:tcPr>
            <w:tcW w:type="dxa" w:w="12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Monitoring</w:t>
            </w:r>
          </w:p>
        </w:tc>
        <w:tc>
          <w:tcPr>
            <w:tcW w:type="dxa" w:w="15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Total exposure</w:t>
            </w:r>
          </w:p>
        </w:tc>
      </w:tr>
      <w:tr>
        <w:tc>
          <w:tcPr>
            <w:tcW w:type="dxa" w:w="115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Low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60,000</w:t>
            </w:r>
          </w:p>
        </w:tc>
        <w:tc>
          <w:tcPr>
            <w:tcW w:type="dxa" w:w="9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50%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30,000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180,000</w:t>
            </w:r>
          </w:p>
        </w:tc>
        <w:tc>
          <w:tcPr>
            <w:tcW w:type="dxa" w:w="129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66,000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95,000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35,000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376,000</w:t>
            </w:r>
          </w:p>
        </w:tc>
      </w:tr>
      <w:tr>
        <w:tc>
          <w:tcPr>
            <w:tcW w:type="dxa" w:w="1152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Expected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90,000</w:t>
            </w:r>
          </w:p>
        </w:tc>
        <w:tc>
          <w:tcPr>
            <w:tcW w:type="dxa" w:w="9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75%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67,500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180,000</w:t>
            </w:r>
          </w:p>
        </w:tc>
        <w:tc>
          <w:tcPr>
            <w:tcW w:type="dxa" w:w="129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148,500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95,000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35,000</w:t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458,500</w:t>
            </w:r>
          </w:p>
        </w:tc>
      </w:tr>
      <w:tr>
        <w:tc>
          <w:tcPr>
            <w:tcW w:type="dxa" w:w="115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High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120,000</w:t>
            </w:r>
          </w:p>
        </w:tc>
        <w:tc>
          <w:tcPr>
            <w:tcW w:type="dxa" w:w="9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90%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108,000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180,000</w:t>
            </w:r>
          </w:p>
        </w:tc>
        <w:tc>
          <w:tcPr>
            <w:tcW w:type="dxa" w:w="129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237,600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95,000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35,000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547,600 before cap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Procurement implication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28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792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decision</w:t>
            </w:r>
          </w:p>
        </w:tc>
      </w:tr>
      <w:tr>
        <w:tc>
          <w:tcPr>
            <w:tcW w:type="dxa" w:w="288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Realistic volume modeling</w:t>
            </w:r>
          </w:p>
        </w:tc>
        <w:tc>
          <w:tcPr>
            <w:tcW w:type="dxa" w:w="79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Test low, expected, high, delayed-rollout, and stress scenarios.</w:t>
            </w:r>
          </w:p>
        </w:tc>
      </w:tr>
      <w:tr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Cost completeness</w:t>
            </w:r>
          </w:p>
        </w:tc>
        <w:tc>
          <w:tcPr>
            <w:tcW w:type="dxa" w:w="79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Make integration, support, validation, monitoring, upgrades, security, and exit explicit.</w:t>
            </w:r>
          </w:p>
        </w:tc>
      </w:tr>
      <w:tr>
        <w:tc>
          <w:tcPr>
            <w:tcW w:type="dxa" w:w="288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Variable exposure</w:t>
            </w:r>
          </w:p>
        </w:tc>
        <w:tc>
          <w:tcPr>
            <w:tcW w:type="dxa" w:w="79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bands, ceilings, overage rules, approval, and price-adjustment limits.</w:t>
            </w:r>
          </w:p>
        </w:tc>
      </w:tr>
      <w:tr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79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renewal to realized value and acceptable safety, equity, and monitoring performance.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