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AIHE-B04 — Cost-Effectiveness, Budget Impact, and HTA Record</w:t>
      </w:r>
    </w:p>
    <w:p>
      <w:pPr>
        <w:spacing w:after="80"/>
      </w:pPr>
      <w:r>
        <w:rPr>
          <w:color w:val="877567"/>
          <w:sz w:val="20"/>
        </w:rPr>
        <w:t>Chapter 7: Economic Evaluation, Affordability, and Health Technology Assessment</w:t>
      </w:r>
    </w:p>
    <w:p>
      <w:r>
        <w:t>Summarize cost-effectiveness, affordability, distribution, HTA, reimbursement, adoption conditions, uncertainty, and recommendation.</w:t>
      </w:r>
    </w:p>
    <w:p>
      <w:r>
        <w:rPr>
          <w:rFonts w:ascii="Aptos" w:hAnsi="Aptos"/>
          <w:sz w:val="17"/>
        </w:rPr>
        <w:t>Resource: AIHE-B04  |  V1.0  |  Aligned chapters: 7, 8, 9, 11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Incremental cost and outcome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 disaggregated and summary results relative to the comparator.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ICER or net benefit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the threshold, currency and price year, and probability that the preferred option is cost-effective.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Budget impact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 eligible volume, uptake, implementation timing, annual cash flow, funding source, and cashable versus non-cashable savings.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Distribution and equity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 subgroup outcomes, access, burdens, opportunity costs, mitigation, and residual concern.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Regulatory and clinical evidence status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Distinguish authorization, external clinical evidence, joint or national assessment, and local evidence.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Reimbursement and payment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coverage, coding, tariff, payer, claim, denial, and incentive implications.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Local adoption conditions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readiness, procurement, workforce, quality, accreditation, governance, and monitoring prerequisites.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Uncertainty and additional evidence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parameters that may change the decision and the value, cost, and timing of further research.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Recommendation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adopt, pilot, conditional use, restrict, defer, redesign, reject, or retire, together with conditions and review date.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AIHE-B04 — Cost-Effectiveness, Budget Impact, and HTA Record</w:t>
      </w:r>
    </w:p>
    <w:p>
      <w:pPr>
        <w:spacing w:after="80"/>
      </w:pPr>
      <w:r>
        <w:rPr>
          <w:color w:val="877567"/>
          <w:sz w:val="20"/>
        </w:rPr>
        <w:t>Chapter 7: Economic Evaluation, Affordability, and Health Technology Assessment</w:t>
      </w:r>
    </w:p>
    <w:p>
      <w:r>
        <w:t>Summarize cost-effectiveness, affordability, distribution, HTA, reimbursement, adoption conditions, uncertainty, and recommendation.</w:t>
      </w:r>
    </w:p>
    <w:p>
      <w:r>
        <w:rPr>
          <w:rFonts w:ascii="Aptos" w:hAnsi="Aptos"/>
          <w:sz w:val="17"/>
        </w:rPr>
        <w:t>Resource: AIHE-B04  |  V1.0  |  Aligned chapters: 7, 8, 9, 11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175"/>
        <w:gridCol w:w="6349"/>
        <w:gridCol w:w="4444"/>
      </w:tblGrid>
      <w:tr>
        <w:trPr>
          <w:tblHeader/>
          <w:cantSplit/>
        </w:trPr>
        <w:tc>
          <w:tcPr>
            <w:tcW w:type="dxa" w:w="3175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349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Guidance</w:t>
            </w:r>
          </w:p>
        </w:tc>
        <w:tc>
          <w:tcPr>
            <w:tcW w:type="dxa" w:w="4444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Institutional response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Incremental cost and outcome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 disaggregated and summary results relative to the comparator.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ICER or net benefit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State the threshold, currency and price year, and probability that the preferred option is cost-effective.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Budget impact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 eligible volume, uptake, implementation timing, annual cash flow, funding source, and cashable versus non-cashable savings.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Distribution and equity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Report subgroup outcomes, access, burdens, opportunity costs, mitigation, and residual concern.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Regulatory and clinical evidence status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Distinguish authorization, external clinical evidence, joint or national assessment, and local evidence.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Reimbursement and payment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coverage, coding, tariff, payer, claim, denial, and incentive implications.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Local adoption conditions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readiness, procurement, workforce, quality, accreditation, governance, and monitoring prerequisites.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Uncertainty and additional evidence</w:t>
            </w:r>
          </w:p>
        </w:tc>
        <w:tc>
          <w:tcPr>
            <w:tcW w:type="dxa" w:w="6349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Identify parameters that may change the decision and the value, cost, and timing of further research.</w:t>
            </w:r>
          </w:p>
        </w:tc>
        <w:tc>
          <w:tcPr>
            <w:tcW w:type="dxa" w:w="4444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175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Recommendation</w:t>
            </w:r>
          </w:p>
        </w:tc>
        <w:tc>
          <w:tcPr>
            <w:tcW w:type="dxa" w:w="6349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Record adopt, pilot, conditional use, restrict, defer, redesign, reject, or retire, together with conditions and review date.</w:t>
            </w:r>
          </w:p>
        </w:tc>
        <w:tc>
          <w:tcPr>
            <w:tcW w:type="dxa" w:w="4444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