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AIHE-EX18 — HTA, Reimbursement, and Adoption Record</w:t>
      </w:r>
    </w:p>
    <w:p>
      <w:r>
        <w:rPr>
          <w:b/>
        </w:rPr>
        <w:t xml:space="preserve">Current digital location: </w:t>
      </w:r>
      <w:r>
        <w:t>Resource Set B — Economic Evaluation, Evidence, and Decision Modeling</w:t>
      </w:r>
    </w:p>
    <w:p>
      <w:r>
        <w:rPr>
          <w:b/>
        </w:rPr>
        <w:t xml:space="preserve">Related book chapters: </w:t>
      </w:r>
      <w:r>
        <w:t>Chapter 7: Economic Evaluation, Affordability, and Health Technology Assessment; Chapter 9: Problem-First Procurement and Vendor Governance; Chapter 12: Decision Architecture and Lifecycle Governance; Chapter 12: Decision Architecture and Lifecycle Governance; Chapter 11: Evidence, Validation, and Real-World Evaluation; Chapter 11: Evidence, Validation, and Real-World Evaluation</w:t>
      </w:r>
    </w:p>
    <w:p>
      <w:r>
        <w:t>Version: V1.0 | aligned to the twelve-chapter reference edition and Resource Sets A–D</w:t>
      </w:r>
    </w:p>
    <w:p>
      <w:r>
        <w:rPr>
          <w:b/>
        </w:rPr>
        <w:t xml:space="preserve">Purpose. </w:t>
      </w:r>
      <w:r>
        <w:t>Distinguish regulatory authorization, HTA, reimbursement or payment, procurement, and local adoption; record the authority, perspective, evidence, gaps, and continuing evidence conditions for each layer.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and governance requirements. Do not enter identifiable patient data, confidential contracts, credentials, or private keys into public copies.</w:t>
      </w:r>
    </w:p>
    <w:p>
      <w:pPr>
        <w:pStyle w:val="Heading1"/>
      </w:pPr>
      <w:r>
        <w:t>How to use this resource</w:t>
      </w:r>
    </w:p>
    <w:p>
      <w:r>
        <w:t>Complete each decision layer separately. The same evidence may contribute to several decisions, but the authority, perspective, comparator, threshold, geography, and requirement for local evidence may differ. A regulatory authorization does not itself establish comparative value, reimbursement, affordability, procurement suitability, or local readiness.</w:t>
      </w:r>
    </w:p>
    <w:p>
      <w:pPr>
        <w:pStyle w:val="Heading1"/>
      </w:pPr>
      <w:r>
        <w:t>Decision-layer evidence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255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and authority</w:t>
            </w:r>
          </w:p>
        </w:tc>
        <w:tc>
          <w:tcPr>
            <w:tcW w:type="dxa" w:w="255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required or available</w:t>
            </w:r>
          </w:p>
        </w:tc>
        <w:tc>
          <w:tcPr>
            <w:tcW w:type="dxa" w:w="255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Gap, condition, or next action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status and intended use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or national clinical assessment</w:t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Economic evaluation and decision perspective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Reimbursement, tariff, or payment mechanism</w:t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impact and responsible budget holder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contractual evidence</w:t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validation, workflow, and implementation evidence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Equity, patient/public, and distributional evidence</w:t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Monitoring, evidence generation, and renewal conditions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relationship among authorization, HTA, payment, procurement, and local adoption</w:t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Integrated conclusion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re"/>
            <w:shd w:fill="303236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Technology, version, intended use, population, and setting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 status and relevant date/version</w:t>
            </w:r>
          </w:p>
        </w:tc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HTA or clinical-assessment conclusion and jurisdiction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Economic conclusion, perspective, comparator, and threshold</w:t>
            </w:r>
          </w:p>
        </w:tc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or reimbursement status and responsible payer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Procurement decision and contractual conditions</w:t>
            </w:r>
          </w:p>
        </w:tc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adoption decision, conditions, accountable authority, and date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Evidence-generation commitments and next review</w:t>
            </w:r>
          </w:p>
        </w:tc>
        <w:tc>
          <w:tcPr>
            <w:tcW w:type="dxa" w:w="5100"/>
            <w:vAlign w:val="centre"/>
            <w:shd w:fill="F5F0E7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6B22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