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rFonts w:ascii="Aptos" w:hAnsi="Aptos"/>
          <w:color w:val="6B2230"/>
          <w:sz w:val="24"/>
        </w:rPr>
        <w:t>Artificial Intelligence in Healthcare Management and Economics</w:t>
      </w:r>
    </w:p>
    <w:p>
      <w:pPr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AIHE-B05 — Model Selection, Uncertainty, and Reproducibility</w:t>
      </w:r>
    </w:p>
    <w:p>
      <w:pPr>
        <w:spacing w:after="80"/>
      </w:pPr>
      <w:r>
        <w:rPr>
          <w:color w:val="877567"/>
          <w:sz w:val="20"/>
        </w:rPr>
        <w:t>Chapter 8: Decision Modelling, Simulation, and the Value of Information</w:t>
      </w:r>
    </w:p>
    <w:p>
      <w:r>
        <w:t>Select a decision model from the problem structure and document evidence, verification, uncertainty, and reproducibility.</w:t>
      </w:r>
    </w:p>
    <w:p>
      <w:r>
        <w:rPr>
          <w:rFonts w:ascii="Aptos" w:hAnsi="Aptos"/>
          <w:sz w:val="17"/>
        </w:rPr>
        <w:t>Resource: AIHE-B05  |  V1.0  |  Aligned chapters: 8, 11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 or uncertainty feature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Appropriate analytical response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Critical evidence and assumptions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Verification, validation, research-value, and reproducibility record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Short, non-recurring pathway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tree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Branches, probabilities, costs, outcomes, thresholds, and downstream action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Logic review, extreme-value tests, deterministic and probabilistic analysis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Recurring health states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Cohort state-transition model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Transitions, time dependence, utilities, costs, competing events, and intervention effects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Trace validation, cycle and horizon tests, calibration, and structural alternatives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Individual heterogeneity and history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Microsimulation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Patient-level distributions, correlations, histories, subgroup effects, and treatment rules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Seeds, replications, convergence, internal and external validation, and subgroup checks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Queues, capacity, and event timing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Discrete-event simulation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Arrivals, service times, routing, capacity, prioritization, downtime, and response constraints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Event-trace review, warm-up, run length, replications, and stress tests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Interacting actors, behaviours, or feedback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Agent-based, system-dynamics, or hybrid model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Behaviour rules, networks, stocks, flows, delays, adaptation, and policy feedback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Pattern validation, rule sensitivity, alternative structures, and face validity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AI-specific characteristics and uncertainty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Explicit model features, scenarios, and value-of-information analysis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Thresholds, calibration, drift, abstention, review burden, updating, version change, implementation, and evidence cost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EVPI, EVPPI, EVSI or ENBS where justified; version-matched evidence; test suite; provenance; decision traceability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p>
      <w:pPr>
        <w:pageBreakBefore/>
        <w:spacing w:after="80"/>
      </w:pPr>
      <w:r>
        <w:rPr>
          <w:rFonts w:ascii="Aptos" w:hAnsi="Aptos"/>
          <w:color w:val="877567"/>
          <w:sz w:val="18"/>
        </w:rPr>
        <w:t>Part III — Economic Evaluation, Decision Modelling, and Procurement</w:t>
      </w:r>
    </w:p>
    <w:p>
      <w:pPr>
        <w:pStyle w:val="Heading1"/>
      </w:pPr>
      <w:r>
        <w:t>AIHE-B05 — Model Selection, Uncertainty, and Reproducibility</w:t>
      </w:r>
    </w:p>
    <w:p>
      <w:pPr>
        <w:spacing w:after="80"/>
      </w:pPr>
      <w:r>
        <w:rPr>
          <w:color w:val="877567"/>
          <w:sz w:val="20"/>
        </w:rPr>
        <w:t>Chapter 8: Decision Modelling, Simulation, and the Value of Information</w:t>
      </w:r>
    </w:p>
    <w:p>
      <w:r>
        <w:t>Select a decision model from the problem structure and document evidence, verification, uncertainty, and reproducibility.</w:t>
      </w:r>
    </w:p>
    <w:p>
      <w:r>
        <w:rPr>
          <w:rFonts w:ascii="Aptos" w:hAnsi="Aptos"/>
          <w:sz w:val="17"/>
        </w:rPr>
        <w:t>Resource: AIHE-B05  |  V1.0  |  Aligned chapters: 8, 11</w:t>
      </w:r>
    </w:p>
    <w:p>
      <w:r>
        <w:t>Complete the record with the people who own the evidence, workflow, budget, safeguards, and follow-up action. Distinguish documented evidence from assumptions and planned evidence collection. Record the exact intervention and version, accountable owner, decision conditions, evidence cut-off, review date, and trigger events.</w:t>
      </w:r>
    </w:p>
    <w:p>
      <w:pPr>
        <w:pStyle w:val="Heading2"/>
      </w:pPr>
      <w:r>
        <w:t>Synthetic illustration — not empirical evidence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0C2"/>
          <w:left w:val="single" w:sz="4" w:color="D9D0C2"/>
          <w:bottom w:val="single" w:sz="4" w:color="D9D0C2"/>
          <w:right w:val="single" w:sz="4" w:color="D9D0C2"/>
          <w:insideH w:val="single" w:sz="4" w:color="D9D0C2"/>
          <w:insideV w:val="single" w:sz="4" w:color="D9D0C2"/>
        </w:tblBorders>
        <w:tblCellMar>
          <w:top w:w="80" w:type="dxa"/>
          <w:left w:w="80" w:type="dxa"/>
          <w:bottom w:w="80" w:type="dxa"/>
          <w:right w:w="80" w:type="dxa"/>
        </w:tblCellMar>
      </w:tblPr>
      <w:tblGrid>
        <w:gridCol w:w="2818"/>
        <w:gridCol w:w="4411"/>
        <w:gridCol w:w="2451"/>
        <w:gridCol w:w="4288"/>
      </w:tblGrid>
      <w:tr>
        <w:trPr>
          <w:tblHeader/>
          <w:cantSplit/>
        </w:trPr>
        <w:tc>
          <w:tcPr>
            <w:tcW w:type="dxa" w:w="281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Decision or uncertainty feature</w:t>
            </w:r>
          </w:p>
        </w:tc>
        <w:tc>
          <w:tcPr>
            <w:tcW w:type="dxa" w:w="441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Appropriate analytical response</w:t>
            </w:r>
          </w:p>
        </w:tc>
        <w:tc>
          <w:tcPr>
            <w:tcW w:type="dxa" w:w="2451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Critical evidence and assumptions</w:t>
            </w:r>
          </w:p>
        </w:tc>
        <w:tc>
          <w:tcPr>
            <w:tcW w:type="dxa" w:w="4288"/>
            <w:shd w:fill="6B2230" w:val="clear"/>
          </w:tcPr>
          <w:p>
            <w:pPr>
              <w:spacing w:after="60" w:before="60"/>
            </w:pPr>
            <w:r>
              <w:rPr>
                <w:rFonts w:ascii="Aptos" w:hAnsi="Aptos"/>
                <w:b/>
                <w:color w:val="FFFFFF"/>
                <w:sz w:val="18"/>
              </w:rPr>
              <w:t>Verification, validation, research-value, and reproducibility record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Short, non-recurring pathway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Decision tree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Branches, probabilities, costs, outcomes, thresholds, and downstream action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Logic review, extreme-value tests, deterministic and probabilistic analysis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Recurring health states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Cohort state-transition model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Transitions, time dependence, utilities, costs, competing events, and intervention effects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Trace validation, cycle and horizon tests, calibration, and structural alternatives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Individual heterogeneity and history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Microsimulation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Patient-level distributions, correlations, histories, subgroup effects, and treatment rules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Seeds, replications, convergence, internal and external validation, and subgroup checks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Queues, capacity, and event timing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Discrete-event simulation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Arrivals, service times, routing, capacity, prioritization, downtime, and response constraints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Event-trace review, warm-up, run length, replications, and stress tests</w:t>
            </w:r>
          </w:p>
        </w:tc>
      </w:tr>
      <w:tr>
        <w:trPr>
          <w:cantSplit/>
        </w:trPr>
        <w:tc>
          <w:tcPr>
            <w:tcW w:type="dxa" w:w="281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Interacting actors, behaviours, or feedback</w:t>
            </w:r>
          </w:p>
        </w:tc>
        <w:tc>
          <w:tcPr>
            <w:tcW w:type="dxa" w:w="441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Agent-based, system-dynamics, or hybrid model</w:t>
            </w:r>
          </w:p>
        </w:tc>
        <w:tc>
          <w:tcPr>
            <w:tcW w:type="dxa" w:w="2451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Behaviour rules, networks, stocks, flows, delays, adaptation, and policy feedback</w:t>
            </w:r>
          </w:p>
        </w:tc>
        <w:tc>
          <w:tcPr>
            <w:tcW w:type="dxa" w:w="4288"/>
            <w:shd w:fill="F5F0E7" w:val="clear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Pattern validation, rule sensitivity, alternative structures, and face validity</w:t>
            </w:r>
          </w:p>
        </w:tc>
      </w:tr>
      <w:tr>
        <w:trPr>
          <w:cantSplit/>
        </w:trPr>
        <w:tc>
          <w:tcPr>
            <w:tcW w:type="dxa" w:w="281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AI-specific characteristics and uncertainty</w:t>
            </w:r>
          </w:p>
        </w:tc>
        <w:tc>
          <w:tcPr>
            <w:tcW w:type="dxa" w:w="441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Explicit model features, scenarios, and value-of-information analysis</w:t>
            </w:r>
          </w:p>
        </w:tc>
        <w:tc>
          <w:tcPr>
            <w:tcW w:type="dxa" w:w="2451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Thresholds, calibration, drift, abstention, review burden, updating, version change, implementation, and evidence cost</w:t>
            </w:r>
          </w:p>
        </w:tc>
        <w:tc>
          <w:tcPr>
            <w:tcW w:type="dxa" w:w="4288"/>
          </w:tcPr>
          <w:p>
            <w:pPr>
              <w:spacing w:after="60" w:before="60" w:line="252" w:lineRule="auto"/>
            </w:pPr>
            <w:r>
              <w:rPr>
                <w:rFonts w:ascii="Aptos" w:hAnsi="Aptos"/>
                <w:color w:val="303236"/>
                <w:sz w:val="18"/>
              </w:rPr>
              <w:t>EVPI, EVPPI, EVSI or ENBS where justified; version-matched evidence; test suite; provenance; decision traceability</w:t>
            </w:r>
          </w:p>
        </w:tc>
      </w:tr>
    </w:tbl>
    <w:p>
      <w:r>
        <w:rPr>
          <w:rFonts w:ascii="Aptos" w:hAnsi="Aptos"/>
          <w:sz w:val="16"/>
        </w:rPr>
        <w:t>Local record control: owner __________________  evidence cut-off __________  next review __________  local version __________</w:t>
      </w:r>
    </w:p>
    <w:sectPr>
      <w:headerReference w:type="default" r:id="rId9"/>
      <w:footerReference w:type="default" r:id="rId10"/>
      <w:pgSz w:w="15840" w:h="12240" w:orient="landscape"/>
      <w:pgMar w:top="936" w:right="936" w:bottom="864" w:left="936" w:header="403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877567"/>
        <w:sz w:val="16"/>
      </w:rPr>
      <w:t xml:space="preserve">Muthana Zouri · Carmen Marinela Cumpăt   |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color w:val="6B2230"/>
        <w:sz w:val="16"/>
      </w:rPr>
      <w:t>DIGITAL RESOURCE COMPANION ·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mbria" w:hAnsi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" w:hAnsi="Aptos"/>
      <w:b/>
      <w:bCs/>
      <w:color w:val="6B223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30323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6B223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877567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ptos" w:hAnsi="Aptos"/>
      <w:b/>
      <w:color w:val="6B223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240" w:after="120"/>
    </w:pPr>
    <w:rPr>
      <w:rFonts w:asciiTheme="majorHAnsi" w:eastAsiaTheme="majorEastAsia" w:hAnsiTheme="majorHAnsi" w:cstheme="majorBidi" w:ascii="Aptos" w:hAnsi="Aptos"/>
      <w:b w:val="0"/>
      <w:i/>
      <w:iCs/>
      <w:color w:val="303236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877567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303236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303236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77567" w:themeColor="accent1"/>
          <w:left w:val="nil"/>
          <w:bottom w:val="single" w:sz="8" w:space="0" w:color="877567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1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H w:val="nil"/>
          <w:insideV w:val="single" w:sz="8" w:space="0" w:color="877567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</w:tcPr>
    </w:tblStylePr>
    <w:tblStylePr w:type="band1Vert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77567" w:themeColor="accent1"/>
          <w:left w:val="single" w:sz="8" w:space="0" w:color="877567" w:themeColor="accent1"/>
          <w:bottom w:val="single" w:sz="8" w:space="0" w:color="877567" w:themeColor="accent1"/>
          <w:right w:val="single" w:sz="8" w:space="0" w:color="877567" w:themeColor="accent1"/>
          <w:insideV w:val="single" w:sz="8" w:space="0" w:color="877567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bottom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77567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77567" w:themeColor="accent1"/>
          <w:bottom w:val="single" w:sz="8" w:space="0" w:color="877567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77567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77567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77567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77567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77567" w:themeColor="accent1"/>
        <w:left w:val="single" w:sz="8" w:space="0" w:color="877567" w:themeColor="accent1"/>
        <w:bottom w:val="single" w:sz="8" w:space="0" w:color="877567" w:themeColor="accent1"/>
        <w:right w:val="single" w:sz="8" w:space="0" w:color="877567" w:themeColor="accent1"/>
        <w:insideH w:val="single" w:sz="8" w:space="0" w:color="877567" w:themeColor="accent1"/>
        <w:insideV w:val="single" w:sz="8" w:space="0" w:color="877567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77567" w:themeColor="accent1"/>
          <w:insideV w:val="single" w:sz="6" w:space="0" w:color="877567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77567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77567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77567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7567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877567" w:themeColor="accent1"/>
        <w:bottom w:val="single" w:sz="4" w:space="0" w:color="877567" w:themeColor="accent1"/>
        <w:right w:val="single" w:sz="4" w:space="0" w:color="877567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877567"/>
      </w:tcPr>
    </w:tblStylePr>
    <w:tblStylePr w:type="lastCol">
      <w:rPr>
        <w:color w:val="FFFFFF"/>
      </w:rPr>
      <w:tblPr/>
      <w:tcPr>
        <w:shd w:val="clear" w:color="auto" w:fill="87756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0323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30323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30323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0323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30323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303236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303236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303236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303236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30323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30323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30323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30323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303236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30323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303236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303236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03236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F5F0E7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F5F0E7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F5F0E7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F5F0E7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nil"/>
          <w:insideV w:val="nil"/>
        </w:tcBorders>
        <w:shd w:val="clear" w:color="auto" w:fill="F5F0E7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303236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000000"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F5F0E7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6B223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5F0E7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5F0E7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6B223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B2230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6B22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6B22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B2230"/>
      </w:tcPr>
    </w:tblStylePr>
    <w:tblStylePr w:type="lastRow">
      <w:rPr>
        <w:b/>
        <w:bCs/>
        <w:color w:val="303236"/>
      </w:rPr>
      <w:tblPr/>
      <w:tcPr>
        <w:tcBorders>
          <w:top w:val="single" w:sz="12" w:space="0" w:color="000000" w:themeColor="text1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0E7"/>
    </w:tcPr>
    <w:tblStylePr w:type="firstRow">
      <w:rPr>
        <w:b/>
        <w:bCs/>
      </w:rPr>
      <w:tblPr/>
      <w:tcPr>
        <w:shd w:val="clear" w:color="auto" w:fill="F5F0E7"/>
      </w:tcPr>
    </w:tblStylePr>
    <w:tblStylePr w:type="lastRow">
      <w:rPr>
        <w:b/>
        <w:bCs/>
        <w:color w:val="000000"/>
      </w:rPr>
      <w:tblPr/>
      <w:tcPr>
        <w:shd w:val="clear" w:color="auto" w:fill="F5F0E7"/>
      </w:tcPr>
    </w:tblStylePr>
    <w:tblStylePr w:type="firstCol">
      <w:rPr>
        <w:color w:val="FFFFFF"/>
      </w:rPr>
      <w:tblPr/>
      <w:tcPr>
        <w:shd w:val="clear" w:color="auto" w:fill="6B2230"/>
      </w:tcPr>
    </w:tblStylePr>
    <w:tblStylePr w:type="lastCol">
      <w:rPr>
        <w:color w:val="FFFFFF"/>
      </w:rPr>
      <w:tblPr/>
      <w:tcPr>
        <w:shd w:val="clear" w:color="auto" w:fill="6B2230"/>
      </w:tcPr>
    </w:tblStylePr>
    <w:tblStylePr w:type="band1Vert">
      <w:tblPr/>
      <w:tcPr>
        <w:shd w:val="clear" w:color="auto" w:fill="F5F0E7"/>
      </w:tcPr>
    </w:tblStylePr>
    <w:tblStylePr w:type="band1Horz">
      <w:tblPr/>
      <w:tcPr>
        <w:shd w:val="clear" w:color="auto" w:fill="F5F0E7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303236"/>
      </a:dk2>
      <a:lt2>
        <a:srgbClr val="F5F0E7"/>
      </a:lt2>
      <a:accent1>
        <a:srgbClr val="6B2230"/>
      </a:accent1>
      <a:accent2>
        <a:srgbClr val="BDA477"/>
      </a:accent2>
      <a:accent3>
        <a:srgbClr val="877567"/>
      </a:accent3>
      <a:accent4>
        <a:srgbClr val="303236"/>
      </a:accent4>
      <a:accent5>
        <a:srgbClr val="A36570"/>
      </a:accent5>
      <a:accent6>
        <a:srgbClr val="DDD0B7"/>
      </a:accent6>
      <a:hlink>
        <a:srgbClr val="6B2230"/>
      </a:hlink>
      <a:folHlink>
        <a:srgbClr val="877567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>
  <Application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Digital Resource Companion</dc:title>
  <dc:subject>Healthcare management, economics, evidence, and lifecycle governance</dc:subject>
  <dc:creator>Muthana Zouri; Carmen Marinela Cumpăt</dc:creator>
  <cp:lastModifiedBy/>
  <cp:revision>1</cp:revision>
</cp:coreProperties>
</file>