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t>Scenario Planning and Real-Options Worksheet</w:t>
      </w:r>
    </w:p>
    <w:p>
      <w:pPr>
        <w:jc w:val="centre"/>
      </w:pPr>
      <w:r>
        <w:rPr>
          <w:b/>
          <w:color w:val="7A2334"/>
        </w:rPr>
        <w:t>AIHE-RG05</w:t>
      </w:r>
    </w:p>
    <w:p>
      <w:pPr>
        <w:spacing w:after="40"/>
      </w:pPr>
      <w:r>
        <w:rPr>
          <w:b/>
        </w:rPr>
        <w:t xml:space="preserve">Primary chapter: </w:t>
      </w:r>
      <w:r>
        <w:t>8 — Decision Modelling, Simulation, and the Value of Information</w:t>
      </w:r>
    </w:p>
    <w:p>
      <w:pPr>
        <w:spacing w:after="40"/>
      </w:pPr>
      <w:r>
        <w:rPr>
          <w:b/>
        </w:rPr>
        <w:t xml:space="preserve">Additional chapter alignment: </w:t>
      </w:r>
      <w:r>
        <w:t>1, 6-9, 12, 15</w:t>
      </w:r>
    </w:p>
    <w:p>
      <w:pPr>
        <w:spacing w:after="40"/>
      </w:pPr>
      <w:r>
        <w:rPr>
          <w:b/>
        </w:rPr>
        <w:t xml:space="preserve">Version: </w:t>
      </w:r>
      <w:r>
        <w:t>V1.0</w:t>
      </w:r>
    </w:p>
    <w:p>
      <w:pPr>
        <w:pStyle w:val="Heading1"/>
      </w:pPr>
      <w:r>
        <w:t>Purpose</w:t>
      </w:r>
    </w:p>
    <w:p>
      <w:r>
        <w:t>Examine uncertainty through alternative futures, thresholds, staged commitments, learning options, contract flexibility, and explicit exit criteria.</w:t>
      </w:r>
    </w:p>
    <w:p>
      <w:pPr>
        <w:pStyle w:val="Heading1"/>
      </w:pPr>
      <w:r>
        <w:t>Instructions</w:t>
      </w:r>
    </w:p>
    <w:p>
      <w:pPr>
        <w:pStyle w:val="ListBullet"/>
      </w:pPr>
      <w:r>
        <w:t>Define the decision question before selecting an instrument or framework.</w:t>
      </w:r>
    </w:p>
    <w:p>
      <w:pPr>
        <w:pStyle w:val="ListBullet"/>
      </w:pPr>
      <w:r>
        <w:t>Verify the exact edition, pub date, jurisdiction, scope, and status of external sources.</w:t>
      </w:r>
    </w:p>
    <w:p>
      <w:pPr>
        <w:pStyle w:val="ListBullet"/>
      </w:pPr>
      <w:r>
        <w:t>Record local evidence, judgement, ownership, gaps, and the resulting decision.</w:t>
      </w:r>
    </w:p>
    <w:p>
      <w:pPr>
        <w:pStyle w:val="ListBullet"/>
      </w:pPr>
      <w:r>
        <w:t>Review and update the record when law, standards, policy, evidence, or institutional context changes.</w:t>
      </w:r>
    </w:p>
    <w:p>
      <w:pPr>
        <w:pStyle w:val="Heading1"/>
      </w:pPr>
      <w:r>
        <w:t>Editable register or checklist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</w:tblGrid>
      <w:tr>
        <w:trPr>
          <w:tblHeader w:val="true"/>
        </w:trPr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Decision option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Key uncertainty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Probability or qualitative likelihood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Cost consequence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Outcome consequence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Equity or trust consequence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Decision threshold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Evidence to collect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Reversibility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Contract or technical option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Scale restrict or stop trigger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Review date</w:t>
            </w:r>
          </w:p>
        </w:tc>
      </w:tr>
      <w:tr>
        <w:tc>
          <w:tcPr>
            <w:tcW w:type="dxa" w:w="1089"/>
            <w:vAlign w:val="top"/>
            <w:shd w:fill="F2E8EB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</w:tr>
    </w:tbl>
    <w:sectPr>
      <w:footerReference w:type="default" r:id="rId9"/>
      <w:headerReference w:type="default" r:id="rId10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6B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