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AIHE-G — Sample Health-System AI Governance Charter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AIHE-G</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following sample charter can be adapted by public hospitals that wish to establish an internal AI governance committee. It is written as a practical template rather than a legal document. Hospitals should revise it according to national law, institutional policy, professional regulation, and data protection requirements.</w:t>
      </w:r>
    </w:p>
    <w:p>
      <w:pPr>
        <w:pStyle w:val="Heading1"/>
      </w:pPr>
      <w:r>
        <w:t>Purpose</w:t>
      </w:r>
    </w:p>
    <w:p>
      <w:r>
        <w:t>The purpose of the AI Governance Committee is to ensure that artificial intelligence systems used within the hospital are economically justified, clinically meaningful, ethically acceptable, secure, equitable, and subject to lifecycle monitoring. The committee supports responsible innovation by providing structured review before, during, and after implementation.</w:t>
      </w:r>
    </w:p>
    <w:p>
      <w:pPr>
        <w:pStyle w:val="Heading1"/>
      </w:pPr>
      <w:r>
        <w:t>Scope</w:t>
      </w:r>
    </w:p>
    <w:p>
      <w:r>
        <w:t>The committee should review AI systems used for clinical decision support, operational management, patient communication, documentation, triage, imaging prioritization, predictive analytics, administrative automation, and any other AI-enabled function that may affect patients, staff, resources, or institutional accountability.</w:t>
      </w:r>
    </w:p>
    <w:p>
      <w:pPr>
        <w:pStyle w:val="Heading1"/>
      </w:pPr>
      <w:r>
        <w:t>Membership</w:t>
      </w:r>
    </w:p>
    <w:p>
      <w:r>
        <w:t>Membership should include executive leadership, clinical leadership, nursing leadership, health economics or finance, information technology, cybersecurity, data protection, quality and safety, ethics, legal or procurement expertise, and patient or public representation where appropriate.</w:t>
      </w:r>
    </w:p>
    <w:p>
      <w:pPr>
        <w:pStyle w:val="Heading1"/>
      </w:pPr>
      <w:r>
        <w:t>Core responsibilities</w:t>
      </w:r>
    </w:p>
    <w:p>
      <w:r>
        <w:t>The committee should maintain an inventory of AI systems, review proposals, assess evidence and risk, evaluate economic value, monitor implementation, review incidents, require corrective action, and recommend continuation, modification, scaling, suspension, or decommissioning.</w:t>
      </w:r>
    </w:p>
    <w:p>
      <w:pPr>
        <w:pStyle w:val="Heading1"/>
      </w:pPr>
      <w:r>
        <w:t>Review criteria</w:t>
      </w:r>
    </w:p>
    <w:p>
      <w:r>
        <w:t>Each AI proposal should be assessed for problem fit, evidence, data quality, interoperability, total cost of ownership, budget impact, workflow consequences, patient safety, fairness, explainability, human oversight, privacy, cybersecurity, vendor accountability, and monitoring feasibility.</w:t>
      </w:r>
    </w:p>
    <w:p>
      <w:pPr>
        <w:pStyle w:val="Heading1"/>
      </w:pPr>
      <w:r>
        <w:t>Documentation</w:t>
      </w:r>
    </w:p>
    <w:p>
      <w:r>
        <w:t>The committee should document decisions, conditions of approval, evaluation indicators, unresolved risks, responsible owners, review dates, and stop criteria. Documentation should be clear enough to support audit, learning, and accountability.</w:t>
      </w:r>
    </w:p>
    <w:p>
      <w:pPr>
        <w:pStyle w:val="Heading1"/>
      </w:pPr>
      <w:r>
        <w:t>Post-deployment monitoring</w:t>
      </w:r>
    </w:p>
    <w:p>
      <w:r>
        <w:t>Approved AI systems should be monitored through defined indicators. These may include performance drift, clinical outcomes, false alerts, user adoption, staff burden, incidents, equity effects, cybersecurity events, and realized costs and benefits.</w:t>
      </w:r>
    </w:p>
    <w:p>
      <w:pPr>
        <w:pStyle w:val="Heading1"/>
      </w:pPr>
      <w:r>
        <w:t>Decommissioning</w:t>
      </w:r>
    </w:p>
    <w:p>
      <w:r>
        <w:t>The committee should define conditions under which an AI system may be suspended or retired. Decommissioning should be considered when performance deteriorates, risks become unacceptable, value is not demonstrated, governance cannot be maintained, or vendor support becomes inadequate.</w:t>
      </w:r>
    </w:p>
    <w:p>
      <w:r>
        <w:t>Table G.1. Example membership and responsibilities for a hospital AI governance committee</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Governance role</w:t>
            </w:r>
          </w:p>
        </w:tc>
        <w:tc>
          <w:tcPr>
            <w:tcW w:type="dxa" w:w="3456"/>
            <w:vAlign w:val="centre"/>
            <w:tcMar>
              <w:top w:w="80" w:type="dxa"/>
              <w:start w:w="80" w:type="dxa"/>
              <w:bottom w:w="80" w:type="dxa"/>
              <w:end w:w="80" w:type="dxa"/>
            </w:tcMar>
            <w:shd w:fill="F5F0E7"/>
          </w:tcPr>
          <w:p>
            <w:r>
              <w:rPr>
                <w:b/>
              </w:rPr>
              <w:t>Primary responsibility</w:t>
            </w:r>
          </w:p>
        </w:tc>
        <w:tc>
          <w:tcPr>
            <w:tcW w:type="dxa" w:w="3456"/>
            <w:vAlign w:val="centre"/>
            <w:tcMar>
              <w:top w:w="80" w:type="dxa"/>
              <w:start w:w="80" w:type="dxa"/>
              <w:bottom w:w="80" w:type="dxa"/>
              <w:end w:w="80" w:type="dxa"/>
            </w:tcMar>
            <w:shd w:fill="F5F0E7"/>
          </w:tcPr>
          <w:p>
            <w:r>
              <w:rPr>
                <w:b/>
              </w:rPr>
              <w:t>Example output</w:t>
            </w:r>
          </w:p>
        </w:tc>
      </w:tr>
      <w:tr>
        <w:tc>
          <w:tcPr>
            <w:tcW w:type="dxa" w:w="3456"/>
            <w:vAlign w:val="centre"/>
            <w:tcMar>
              <w:top w:w="80" w:type="dxa"/>
              <w:start w:w="80" w:type="dxa"/>
              <w:bottom w:w="80" w:type="dxa"/>
              <w:end w:w="80" w:type="dxa"/>
            </w:tcMar>
          </w:tcPr>
          <w:p>
            <w:r>
              <w:t>Executive sponsor</w:t>
            </w:r>
          </w:p>
        </w:tc>
        <w:tc>
          <w:tcPr>
            <w:tcW w:type="dxa" w:w="3456"/>
            <w:vAlign w:val="centre"/>
            <w:tcMar>
              <w:top w:w="80" w:type="dxa"/>
              <w:start w:w="80" w:type="dxa"/>
              <w:bottom w:w="80" w:type="dxa"/>
              <w:end w:w="80" w:type="dxa"/>
            </w:tcMar>
          </w:tcPr>
          <w:p>
            <w:r>
              <w:t>Align AI projects with hospital strategy and resources</w:t>
            </w:r>
          </w:p>
        </w:tc>
        <w:tc>
          <w:tcPr>
            <w:tcW w:type="dxa" w:w="3456"/>
            <w:vAlign w:val="centre"/>
            <w:tcMar>
              <w:top w:w="80" w:type="dxa"/>
              <w:start w:w="80" w:type="dxa"/>
              <w:bottom w:w="80" w:type="dxa"/>
              <w:end w:w="80" w:type="dxa"/>
            </w:tcMar>
          </w:tcPr>
          <w:p>
            <w:r>
              <w:t>Approval memo and accountability assignment</w:t>
            </w:r>
          </w:p>
        </w:tc>
      </w:tr>
      <w:tr>
        <w:tc>
          <w:tcPr>
            <w:tcW w:type="dxa" w:w="3456"/>
            <w:vAlign w:val="centre"/>
            <w:tcMar>
              <w:top w:w="80" w:type="dxa"/>
              <w:start w:w="80" w:type="dxa"/>
              <w:bottom w:w="80" w:type="dxa"/>
              <w:end w:w="80" w:type="dxa"/>
            </w:tcMar>
          </w:tcPr>
          <w:p>
            <w:r>
              <w:t>Clinical lead</w:t>
            </w:r>
          </w:p>
        </w:tc>
        <w:tc>
          <w:tcPr>
            <w:tcW w:type="dxa" w:w="3456"/>
            <w:vAlign w:val="centre"/>
            <w:tcMar>
              <w:top w:w="80" w:type="dxa"/>
              <w:start w:w="80" w:type="dxa"/>
              <w:bottom w:w="80" w:type="dxa"/>
              <w:end w:w="80" w:type="dxa"/>
            </w:tcMar>
          </w:tcPr>
          <w:p>
            <w:r>
              <w:t>Assess clinical relevance, safety, and workflow fit</w:t>
            </w:r>
          </w:p>
        </w:tc>
        <w:tc>
          <w:tcPr>
            <w:tcW w:type="dxa" w:w="3456"/>
            <w:vAlign w:val="centre"/>
            <w:tcMar>
              <w:top w:w="80" w:type="dxa"/>
              <w:start w:w="80" w:type="dxa"/>
              <w:bottom w:w="80" w:type="dxa"/>
              <w:end w:w="80" w:type="dxa"/>
            </w:tcMar>
          </w:tcPr>
          <w:p>
            <w:r>
              <w:t>Clinical safety review</w:t>
            </w:r>
          </w:p>
        </w:tc>
      </w:tr>
      <w:tr>
        <w:tc>
          <w:tcPr>
            <w:tcW w:type="dxa" w:w="3456"/>
            <w:vAlign w:val="centre"/>
            <w:tcMar>
              <w:top w:w="80" w:type="dxa"/>
              <w:start w:w="80" w:type="dxa"/>
              <w:bottom w:w="80" w:type="dxa"/>
              <w:end w:w="80" w:type="dxa"/>
            </w:tcMar>
          </w:tcPr>
          <w:p>
            <w:r>
              <w:t>Health economist or finance lead</w:t>
            </w:r>
          </w:p>
        </w:tc>
        <w:tc>
          <w:tcPr>
            <w:tcW w:type="dxa" w:w="3456"/>
            <w:vAlign w:val="centre"/>
            <w:tcMar>
              <w:top w:w="80" w:type="dxa"/>
              <w:start w:w="80" w:type="dxa"/>
              <w:bottom w:w="80" w:type="dxa"/>
              <w:end w:w="80" w:type="dxa"/>
            </w:tcMar>
          </w:tcPr>
          <w:p>
            <w:r>
              <w:t>Assess cost, ROI, budget impact, and affordability</w:t>
            </w:r>
          </w:p>
        </w:tc>
        <w:tc>
          <w:tcPr>
            <w:tcW w:type="dxa" w:w="3456"/>
            <w:vAlign w:val="centre"/>
            <w:tcMar>
              <w:top w:w="80" w:type="dxa"/>
              <w:start w:w="80" w:type="dxa"/>
              <w:bottom w:w="80" w:type="dxa"/>
              <w:end w:w="80" w:type="dxa"/>
            </w:tcMar>
          </w:tcPr>
          <w:p>
            <w:r>
              <w:t>Economic evaluation summary</w:t>
            </w:r>
          </w:p>
        </w:tc>
      </w:tr>
      <w:tr>
        <w:tc>
          <w:tcPr>
            <w:tcW w:type="dxa" w:w="3456"/>
            <w:vAlign w:val="centre"/>
            <w:tcMar>
              <w:top w:w="80" w:type="dxa"/>
              <w:start w:w="80" w:type="dxa"/>
              <w:bottom w:w="80" w:type="dxa"/>
              <w:end w:w="80" w:type="dxa"/>
            </w:tcMar>
          </w:tcPr>
          <w:p>
            <w:r>
              <w:t>IT and cybersecurity lead</w:t>
            </w:r>
          </w:p>
        </w:tc>
        <w:tc>
          <w:tcPr>
            <w:tcW w:type="dxa" w:w="3456"/>
            <w:vAlign w:val="centre"/>
            <w:tcMar>
              <w:top w:w="80" w:type="dxa"/>
              <w:start w:w="80" w:type="dxa"/>
              <w:bottom w:w="80" w:type="dxa"/>
              <w:end w:w="80" w:type="dxa"/>
            </w:tcMar>
          </w:tcPr>
          <w:p>
            <w:r>
              <w:t>Assess integration, access controls, resilience, and monitoring</w:t>
            </w:r>
          </w:p>
        </w:tc>
        <w:tc>
          <w:tcPr>
            <w:tcW w:type="dxa" w:w="3456"/>
            <w:vAlign w:val="centre"/>
            <w:tcMar>
              <w:top w:w="80" w:type="dxa"/>
              <w:start w:w="80" w:type="dxa"/>
              <w:bottom w:w="80" w:type="dxa"/>
              <w:end w:w="80" w:type="dxa"/>
            </w:tcMar>
          </w:tcPr>
          <w:p>
            <w:r>
              <w:t>Technical and security assessment</w:t>
            </w:r>
          </w:p>
        </w:tc>
      </w:tr>
      <w:tr>
        <w:tc>
          <w:tcPr>
            <w:tcW w:type="dxa" w:w="3456"/>
            <w:vAlign w:val="centre"/>
            <w:tcMar>
              <w:top w:w="80" w:type="dxa"/>
              <w:start w:w="80" w:type="dxa"/>
              <w:bottom w:w="80" w:type="dxa"/>
              <w:end w:w="80" w:type="dxa"/>
            </w:tcMar>
          </w:tcPr>
          <w:p>
            <w:r>
              <w:t>Data protection officer</w:t>
            </w:r>
          </w:p>
        </w:tc>
        <w:tc>
          <w:tcPr>
            <w:tcW w:type="dxa" w:w="3456"/>
            <w:vAlign w:val="centre"/>
            <w:tcMar>
              <w:top w:w="80" w:type="dxa"/>
              <w:start w:w="80" w:type="dxa"/>
              <w:bottom w:w="80" w:type="dxa"/>
              <w:end w:w="80" w:type="dxa"/>
            </w:tcMar>
          </w:tcPr>
          <w:p>
            <w:r>
              <w:t>Assess lawful processing, privacy, and data minimization</w:t>
            </w:r>
          </w:p>
        </w:tc>
        <w:tc>
          <w:tcPr>
            <w:tcW w:type="dxa" w:w="3456"/>
            <w:vAlign w:val="centre"/>
            <w:tcMar>
              <w:top w:w="80" w:type="dxa"/>
              <w:start w:w="80" w:type="dxa"/>
              <w:bottom w:w="80" w:type="dxa"/>
              <w:end w:w="80" w:type="dxa"/>
            </w:tcMar>
          </w:tcPr>
          <w:p>
            <w:r>
              <w:t>Data protection impact assessment</w:t>
            </w:r>
          </w:p>
        </w:tc>
      </w:tr>
      <w:tr>
        <w:tc>
          <w:tcPr>
            <w:tcW w:type="dxa" w:w="3456"/>
            <w:vAlign w:val="centre"/>
            <w:tcMar>
              <w:top w:w="80" w:type="dxa"/>
              <w:start w:w="80" w:type="dxa"/>
              <w:bottom w:w="80" w:type="dxa"/>
              <w:end w:w="80" w:type="dxa"/>
            </w:tcMar>
          </w:tcPr>
          <w:p>
            <w:r>
              <w:t>Ethics representative</w:t>
            </w:r>
          </w:p>
        </w:tc>
        <w:tc>
          <w:tcPr>
            <w:tcW w:type="dxa" w:w="3456"/>
            <w:vAlign w:val="centre"/>
            <w:tcMar>
              <w:top w:w="80" w:type="dxa"/>
              <w:start w:w="80" w:type="dxa"/>
              <w:bottom w:w="80" w:type="dxa"/>
              <w:end w:w="80" w:type="dxa"/>
            </w:tcMar>
          </w:tcPr>
          <w:p>
            <w:r>
              <w:t>Assess fairness, transparency, trust, and patient implications</w:t>
            </w:r>
          </w:p>
        </w:tc>
        <w:tc>
          <w:tcPr>
            <w:tcW w:type="dxa" w:w="3456"/>
            <w:vAlign w:val="centre"/>
            <w:tcMar>
              <w:top w:w="80" w:type="dxa"/>
              <w:start w:w="80" w:type="dxa"/>
              <w:bottom w:w="80" w:type="dxa"/>
              <w:end w:w="80" w:type="dxa"/>
            </w:tcMar>
          </w:tcPr>
          <w:p>
            <w:r>
              <w:t>Ethical impact review</w:t>
            </w:r>
          </w:p>
        </w:tc>
      </w:tr>
      <w:tr>
        <w:tc>
          <w:tcPr>
            <w:tcW w:type="dxa" w:w="3456"/>
            <w:vAlign w:val="centre"/>
            <w:tcMar>
              <w:top w:w="80" w:type="dxa"/>
              <w:start w:w="80" w:type="dxa"/>
              <w:bottom w:w="80" w:type="dxa"/>
              <w:end w:w="80" w:type="dxa"/>
            </w:tcMar>
          </w:tcPr>
          <w:p>
            <w:r>
              <w:t>Quality and safety lead</w:t>
            </w:r>
          </w:p>
        </w:tc>
        <w:tc>
          <w:tcPr>
            <w:tcW w:type="dxa" w:w="3456"/>
            <w:vAlign w:val="centre"/>
            <w:tcMar>
              <w:top w:w="80" w:type="dxa"/>
              <w:start w:w="80" w:type="dxa"/>
              <w:bottom w:w="80" w:type="dxa"/>
              <w:end w:w="80" w:type="dxa"/>
            </w:tcMar>
          </w:tcPr>
          <w:p>
            <w:r>
              <w:t>Connect AI monitoring to quality and safety systems</w:t>
            </w:r>
          </w:p>
        </w:tc>
        <w:tc>
          <w:tcPr>
            <w:tcW w:type="dxa" w:w="3456"/>
            <w:vAlign w:val="centre"/>
            <w:tcMar>
              <w:top w:w="80" w:type="dxa"/>
              <w:start w:w="80" w:type="dxa"/>
              <w:bottom w:w="80" w:type="dxa"/>
              <w:end w:w="80" w:type="dxa"/>
            </w:tcMar>
          </w:tcPr>
          <w:p>
            <w:r>
              <w:t>Monitoring dashboard and incident process</w:t>
            </w:r>
          </w:p>
        </w:tc>
      </w:tr>
      <w:tr>
        <w:tc>
          <w:tcPr>
            <w:tcW w:type="dxa" w:w="3456"/>
            <w:vAlign w:val="centre"/>
            <w:tcMar>
              <w:top w:w="80" w:type="dxa"/>
              <w:start w:w="80" w:type="dxa"/>
              <w:bottom w:w="80" w:type="dxa"/>
              <w:end w:w="80" w:type="dxa"/>
            </w:tcMar>
          </w:tcPr>
          <w:p>
            <w:r>
              <w:t>Patient/public representative</w:t>
            </w:r>
          </w:p>
        </w:tc>
        <w:tc>
          <w:tcPr>
            <w:tcW w:type="dxa" w:w="3456"/>
            <w:vAlign w:val="centre"/>
            <w:tcMar>
              <w:top w:w="80" w:type="dxa"/>
              <w:start w:w="80" w:type="dxa"/>
              <w:bottom w:w="80" w:type="dxa"/>
              <w:end w:w="80" w:type="dxa"/>
            </w:tcMar>
          </w:tcPr>
          <w:p>
            <w:r>
              <w:t>Identify access, communication, and trust issues</w:t>
            </w:r>
          </w:p>
        </w:tc>
        <w:tc>
          <w:tcPr>
            <w:tcW w:type="dxa" w:w="3456"/>
            <w:vAlign w:val="centre"/>
            <w:tcMar>
              <w:top w:w="80" w:type="dxa"/>
              <w:start w:w="80" w:type="dxa"/>
              <w:bottom w:w="80" w:type="dxa"/>
              <w:end w:w="80" w:type="dxa"/>
            </w:tcMar>
          </w:tcPr>
          <w:p>
            <w:r>
              <w:t>Patient-facing recommendations</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