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re"/>
      </w:pPr>
      <w:r>
        <w:t>Regulatory, Standards, and Policy Update Register</w:t>
      </w:r>
    </w:p>
    <w:p>
      <w:pPr>
        <w:jc w:val="centre"/>
      </w:pPr>
      <w:r>
        <w:rPr>
          <w:b/>
          <w:color w:val="7A2334"/>
        </w:rPr>
        <w:t>AIHE-RG04</w:t>
      </w:r>
    </w:p>
    <w:p>
      <w:pPr>
        <w:spacing w:after="40"/>
      </w:pPr>
      <w:r>
        <w:rPr>
          <w:b/>
        </w:rPr>
        <w:t xml:space="preserve">Primary chapter: </w:t>
      </w:r>
      <w:r>
        <w:t>10 — Governance, Accountability, and Institutional Risk</w:t>
      </w:r>
    </w:p>
    <w:p>
      <w:pPr>
        <w:spacing w:after="40"/>
      </w:pPr>
      <w:r>
        <w:rPr>
          <w:b/>
        </w:rPr>
        <w:t xml:space="preserve">Additional chapter alignment: </w:t>
      </w:r>
      <w:r>
        <w:t>2, 5, 7, 9, 10, 12-15</w:t>
      </w:r>
    </w:p>
    <w:p>
      <w:pPr>
        <w:spacing w:after="40"/>
      </w:pPr>
      <w:r>
        <w:rPr>
          <w:b/>
        </w:rPr>
        <w:t xml:space="preserve">Version: </w:t>
      </w:r>
      <w:r>
        <w:t>V1.0</w:t>
      </w:r>
    </w:p>
    <w:p>
      <w:pPr>
        <w:pStyle w:val="Heading1"/>
      </w:pPr>
      <w:r>
        <w:t>Purpose</w:t>
      </w:r>
    </w:p>
    <w:p>
      <w:r>
        <w:t>Maintain date-stamped records for European, Romanian, and global legal, policy, standards, reimbursement, and guidance sources whose scope or implementation status may change.</w:t>
      </w:r>
    </w:p>
    <w:p>
      <w:pPr>
        <w:pStyle w:val="Heading1"/>
      </w:pPr>
      <w:r>
        <w:t>Instructions</w:t>
      </w:r>
    </w:p>
    <w:p>
      <w:pPr>
        <w:pStyle w:val="ListBullet"/>
      </w:pPr>
      <w:r>
        <w:t>Define the decision question before selecting an instrument or framework.</w:t>
      </w:r>
    </w:p>
    <w:p>
      <w:pPr>
        <w:pStyle w:val="ListBullet"/>
      </w:pPr>
      <w:r>
        <w:t>Verify the exact edition, pub date, jurisdiction, scope, and status of external sources.</w:t>
      </w:r>
    </w:p>
    <w:p>
      <w:pPr>
        <w:pStyle w:val="ListBullet"/>
      </w:pPr>
      <w:r>
        <w:t>Record local evidence, judgement, ownership, gaps, and the resulting decision.</w:t>
      </w:r>
    </w:p>
    <w:p>
      <w:pPr>
        <w:pStyle w:val="ListBullet"/>
      </w:pPr>
      <w:r>
        <w:t>Review and update the record when law, standards, policy, evidence, or institutional context changes.</w:t>
      </w:r>
    </w:p>
    <w:p>
      <w:pPr>
        <w:pStyle w:val="Heading1"/>
      </w:pPr>
      <w:r>
        <w:t>Editable register or checklist</w:t>
      </w:r>
    </w:p>
    <w:tbl>
      <w:tblPr>
        <w:tblStyle w:val="TableGrid"/>
        <w:tblW w:type="auto" w:w="0"/>
        <w:jc w:val="centre"/>
        <w:tblLook w:firstColumn="1" w:firstRow="1" w:lastColumn="0" w:lastRow="0" w:noHBand="0" w:noVBand="1" w:val="04A0"/>
      </w:tblPr>
      <w:tblGrid>
        <w:gridCol w:w="1386"/>
        <w:gridCol w:w="1386"/>
        <w:gridCol w:w="1386"/>
        <w:gridCol w:w="1386"/>
        <w:gridCol w:w="1386"/>
        <w:gridCol w:w="1386"/>
        <w:gridCol w:w="1386"/>
        <w:gridCol w:w="1386"/>
        <w:gridCol w:w="1386"/>
        <w:gridCol w:w="1386"/>
        <w:gridCol w:w="1386"/>
      </w:tblGrid>
      <w:tr>
        <w:trPr>
          <w:tblHeader w:val="true"/>
        </w:trPr>
        <w:tc>
          <w:tcPr>
            <w:tcW w:type="dxa" w:w="1386"/>
            <w:shd w:fill="7A2334"/>
          </w:tcPr>
          <w:p>
            <w:r>
              <w:rPr>
                <w:b/>
                <w:color w:val="FFFFFF"/>
                <w:sz w:val="15"/>
              </w:rPr>
              <w:t>Instrument</w:t>
            </w:r>
          </w:p>
        </w:tc>
        <w:tc>
          <w:tcPr>
            <w:tcW w:type="dxa" w:w="1386"/>
            <w:shd w:fill="7A2334"/>
          </w:tcPr>
          <w:p>
            <w:r>
              <w:rPr>
                <w:b/>
                <w:color w:val="FFFFFF"/>
                <w:sz w:val="15"/>
              </w:rPr>
              <w:t>Authority and jurisdiction</w:t>
            </w:r>
          </w:p>
        </w:tc>
        <w:tc>
          <w:tcPr>
            <w:tcW w:type="dxa" w:w="1386"/>
            <w:shd w:fill="7A2334"/>
          </w:tcPr>
          <w:p>
            <w:r>
              <w:rPr>
                <w:b/>
                <w:color w:val="FFFFFF"/>
                <w:sz w:val="15"/>
              </w:rPr>
              <w:t>Status</w:t>
            </w:r>
          </w:p>
        </w:tc>
        <w:tc>
          <w:tcPr>
            <w:tcW w:type="dxa" w:w="1386"/>
            <w:shd w:fill="7A2334"/>
          </w:tcPr>
          <w:p>
            <w:r>
              <w:rPr>
                <w:b/>
                <w:color w:val="FFFFFF"/>
                <w:sz w:val="15"/>
              </w:rPr>
              <w:t>Version or date</w:t>
            </w:r>
          </w:p>
        </w:tc>
        <w:tc>
          <w:tcPr>
            <w:tcW w:type="dxa" w:w="1386"/>
            <w:shd w:fill="7A2334"/>
          </w:tcPr>
          <w:p>
            <w:r>
              <w:rPr>
                <w:b/>
                <w:color w:val="FFFFFF"/>
                <w:sz w:val="15"/>
              </w:rPr>
              <w:t>Decision relevance</w:t>
            </w:r>
          </w:p>
        </w:tc>
        <w:tc>
          <w:tcPr>
            <w:tcW w:type="dxa" w:w="1386"/>
            <w:shd w:fill="7A2334"/>
          </w:tcPr>
          <w:p>
            <w:r>
              <w:rPr>
                <w:b/>
                <w:color w:val="FFFFFF"/>
                <w:sz w:val="15"/>
              </w:rPr>
              <w:t>Implementation phase</w:t>
            </w:r>
          </w:p>
        </w:tc>
        <w:tc>
          <w:tcPr>
            <w:tcW w:type="dxa" w:w="1386"/>
            <w:shd w:fill="7A2334"/>
          </w:tcPr>
          <w:p>
            <w:r>
              <w:rPr>
                <w:b/>
                <w:color w:val="FFFFFF"/>
                <w:sz w:val="15"/>
              </w:rPr>
              <w:t>Authoritative source</w:t>
            </w:r>
          </w:p>
        </w:tc>
        <w:tc>
          <w:tcPr>
            <w:tcW w:type="dxa" w:w="1386"/>
            <w:shd w:fill="7A2334"/>
          </w:tcPr>
          <w:p>
            <w:r>
              <w:rPr>
                <w:b/>
                <w:color w:val="FFFFFF"/>
                <w:sz w:val="15"/>
              </w:rPr>
              <w:t>Date checked</w:t>
            </w:r>
          </w:p>
        </w:tc>
        <w:tc>
          <w:tcPr>
            <w:tcW w:type="dxa" w:w="1386"/>
            <w:shd w:fill="7A2334"/>
          </w:tcPr>
          <w:p>
            <w:r>
              <w:rPr>
                <w:b/>
                <w:color w:val="FFFFFF"/>
                <w:sz w:val="15"/>
              </w:rPr>
              <w:t>Owner</w:t>
            </w:r>
          </w:p>
        </w:tc>
        <w:tc>
          <w:tcPr>
            <w:tcW w:type="dxa" w:w="1386"/>
            <w:shd w:fill="7A2334"/>
          </w:tcPr>
          <w:p>
            <w:r>
              <w:rPr>
                <w:b/>
                <w:color w:val="FFFFFF"/>
                <w:sz w:val="15"/>
              </w:rPr>
              <w:t>Next review</w:t>
            </w:r>
          </w:p>
        </w:tc>
        <w:tc>
          <w:tcPr>
            <w:tcW w:type="dxa" w:w="1386"/>
            <w:shd w:fill="7A2334"/>
          </w:tcPr>
          <w:p>
            <w:r>
              <w:rPr>
                <w:b/>
                <w:color w:val="FFFFFF"/>
                <w:sz w:val="15"/>
              </w:rPr>
              <w:t>Change since prior review</w:t>
            </w:r>
          </w:p>
        </w:tc>
      </w:tr>
      <w:tr>
        <w:tc>
          <w:tcPr>
            <w:tcW w:type="dxa" w:w="1386"/>
            <w:vAlign w:val="top"/>
            <w:shd w:fill="F2E8EB"/>
          </w:tcPr>
          <w:p>
            <w:r>
              <w:rPr>
                <w:sz w:val="14"/>
              </w:rPr>
              <w:t>EU AI Act</w:t>
            </w:r>
          </w:p>
        </w:tc>
        <w:tc>
          <w:tcPr>
            <w:tcW w:type="dxa" w:w="1386"/>
            <w:vAlign w:val="top"/>
          </w:tcPr>
          <w:p>
            <w:r>
              <w:rPr>
                <w:sz w:val="14"/>
              </w:rPr>
              <w:t>European Union</w:t>
            </w:r>
          </w:p>
        </w:tc>
        <w:tc>
          <w:tcPr>
            <w:tcW w:type="dxa" w:w="1386"/>
            <w:vAlign w:val="top"/>
          </w:tcPr>
          <w:p>
            <w:r>
              <w:rPr>
                <w:sz w:val="14"/>
              </w:rPr>
              <w:t>Binding regulation</w:t>
            </w:r>
          </w:p>
        </w:tc>
        <w:tc>
          <w:tcPr>
            <w:tcW w:type="dxa" w:w="1386"/>
            <w:vAlign w:val="top"/>
          </w:tcPr>
          <w:p>
            <w:r>
              <w:rPr>
                <w:sz w:val="14"/>
              </w:rPr>
              <w:t>Verify consolidated current text</w:t>
            </w:r>
          </w:p>
        </w:tc>
        <w:tc>
          <w:tcPr>
            <w:tcW w:type="dxa" w:w="1386"/>
            <w:vAlign w:val="top"/>
          </w:tcPr>
          <w:p>
            <w:r>
              <w:rPr>
                <w:sz w:val="14"/>
              </w:rPr>
              <w:t>Risk classification, governance, transparency and lifecycle obligations</w:t>
            </w:r>
          </w:p>
        </w:tc>
        <w:tc>
          <w:tcPr>
            <w:tcW w:type="dxa" w:w="1386"/>
            <w:vAlign w:val="top"/>
          </w:tcPr>
          <w:p>
            <w:r>
              <w:rPr>
                <w:sz w:val="14"/>
              </w:rPr>
              <w:t>Phased application</w:t>
            </w:r>
          </w:p>
        </w:tc>
        <w:tc>
          <w:tcPr>
            <w:tcW w:type="dxa" w:w="1386"/>
            <w:vAlign w:val="top"/>
          </w:tcPr>
          <w:p>
            <w:r>
              <w:rPr>
                <w:sz w:val="14"/>
              </w:rPr>
              <w:t>EUR-Lex</w:t>
            </w:r>
          </w:p>
        </w:tc>
        <w:tc>
          <w:tcPr>
            <w:tcW w:type="dxa" w:w="1386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386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386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386"/>
            <w:vAlign w:val="top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1386"/>
            <w:vAlign w:val="top"/>
            <w:shd w:fill="F2E8EB"/>
          </w:tcPr>
          <w:p>
            <w:r>
              <w:rPr>
                <w:sz w:val="14"/>
              </w:rPr>
              <w:t>European Health Data Space</w:t>
            </w:r>
          </w:p>
        </w:tc>
        <w:tc>
          <w:tcPr>
            <w:tcW w:type="dxa" w:w="1386"/>
            <w:vAlign w:val="top"/>
          </w:tcPr>
          <w:p>
            <w:r>
              <w:rPr>
                <w:sz w:val="14"/>
              </w:rPr>
              <w:t>European Union</w:t>
            </w:r>
          </w:p>
        </w:tc>
        <w:tc>
          <w:tcPr>
            <w:tcW w:type="dxa" w:w="1386"/>
            <w:vAlign w:val="top"/>
          </w:tcPr>
          <w:p>
            <w:r>
              <w:rPr>
                <w:sz w:val="14"/>
              </w:rPr>
              <w:t>Binding regulation</w:t>
            </w:r>
          </w:p>
        </w:tc>
        <w:tc>
          <w:tcPr>
            <w:tcW w:type="dxa" w:w="1386"/>
            <w:vAlign w:val="top"/>
          </w:tcPr>
          <w:p>
            <w:r>
              <w:rPr>
                <w:sz w:val="14"/>
              </w:rPr>
              <w:t>Verify consolidated current text</w:t>
            </w:r>
          </w:p>
        </w:tc>
        <w:tc>
          <w:tcPr>
            <w:tcW w:type="dxa" w:w="1386"/>
            <w:vAlign w:val="top"/>
          </w:tcPr>
          <w:p>
            <w:r>
              <w:rPr>
                <w:sz w:val="14"/>
              </w:rPr>
              <w:t>Primary/secondary use, interoperability and cross-border data infrastructure</w:t>
            </w:r>
          </w:p>
        </w:tc>
        <w:tc>
          <w:tcPr>
            <w:tcW w:type="dxa" w:w="1386"/>
            <w:vAlign w:val="top"/>
          </w:tcPr>
          <w:p>
            <w:r>
              <w:rPr>
                <w:sz w:val="14"/>
              </w:rPr>
              <w:t>Staged implementation</w:t>
            </w:r>
          </w:p>
        </w:tc>
        <w:tc>
          <w:tcPr>
            <w:tcW w:type="dxa" w:w="1386"/>
            <w:vAlign w:val="top"/>
          </w:tcPr>
          <w:p>
            <w:r>
              <w:rPr>
                <w:sz w:val="14"/>
              </w:rPr>
              <w:t>EUR-Lex / European Commission</w:t>
            </w:r>
          </w:p>
        </w:tc>
        <w:tc>
          <w:tcPr>
            <w:tcW w:type="dxa" w:w="1386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386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386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386"/>
            <w:vAlign w:val="top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1386"/>
            <w:vAlign w:val="top"/>
            <w:shd w:fill="F2E8EB"/>
          </w:tcPr>
          <w:p>
            <w:r>
              <w:rPr>
                <w:sz w:val="14"/>
              </w:rPr>
              <w:t>EU HTA Regulation</w:t>
            </w:r>
          </w:p>
        </w:tc>
        <w:tc>
          <w:tcPr>
            <w:tcW w:type="dxa" w:w="1386"/>
            <w:vAlign w:val="top"/>
          </w:tcPr>
          <w:p>
            <w:r>
              <w:rPr>
                <w:sz w:val="14"/>
              </w:rPr>
              <w:t>European Union</w:t>
            </w:r>
          </w:p>
        </w:tc>
        <w:tc>
          <w:tcPr>
            <w:tcW w:type="dxa" w:w="1386"/>
            <w:vAlign w:val="top"/>
          </w:tcPr>
          <w:p>
            <w:r>
              <w:rPr>
                <w:sz w:val="14"/>
              </w:rPr>
              <w:t>Binding regulation</w:t>
            </w:r>
          </w:p>
        </w:tc>
        <w:tc>
          <w:tcPr>
            <w:tcW w:type="dxa" w:w="1386"/>
            <w:vAlign w:val="top"/>
          </w:tcPr>
          <w:p>
            <w:r>
              <w:rPr>
                <w:sz w:val="14"/>
              </w:rPr>
              <w:t>Verify current scope and methods</w:t>
            </w:r>
          </w:p>
        </w:tc>
        <w:tc>
          <w:tcPr>
            <w:tcW w:type="dxa" w:w="1386"/>
            <w:vAlign w:val="top"/>
          </w:tcPr>
          <w:p>
            <w:r>
              <w:rPr>
                <w:sz w:val="14"/>
              </w:rPr>
              <w:t>Joint clinical assessment and national/local decision pathways</w:t>
            </w:r>
          </w:p>
        </w:tc>
        <w:tc>
          <w:tcPr>
            <w:tcW w:type="dxa" w:w="1386"/>
            <w:vAlign w:val="top"/>
          </w:tcPr>
          <w:p>
            <w:r>
              <w:rPr>
                <w:sz w:val="14"/>
              </w:rPr>
              <w:t>Staged technology coverage</w:t>
            </w:r>
          </w:p>
        </w:tc>
        <w:tc>
          <w:tcPr>
            <w:tcW w:type="dxa" w:w="1386"/>
            <w:vAlign w:val="top"/>
          </w:tcPr>
          <w:p>
            <w:r>
              <w:rPr>
                <w:sz w:val="14"/>
              </w:rPr>
              <w:t>EUR-Lex / HTA Coordination Group</w:t>
            </w:r>
          </w:p>
        </w:tc>
        <w:tc>
          <w:tcPr>
            <w:tcW w:type="dxa" w:w="1386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386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386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386"/>
            <w:vAlign w:val="top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1386"/>
            <w:vAlign w:val="top"/>
            <w:shd w:fill="F2E8EB"/>
          </w:tcPr>
          <w:p>
            <w:r>
              <w:rPr>
                <w:sz w:val="14"/>
              </w:rPr>
              <w:t>GDPR and national data law</w:t>
            </w:r>
          </w:p>
        </w:tc>
        <w:tc>
          <w:tcPr>
            <w:tcW w:type="dxa" w:w="1386"/>
            <w:vAlign w:val="top"/>
          </w:tcPr>
          <w:p>
            <w:r>
              <w:rPr>
                <w:sz w:val="14"/>
              </w:rPr>
              <w:t>EU and member state</w:t>
            </w:r>
          </w:p>
        </w:tc>
        <w:tc>
          <w:tcPr>
            <w:tcW w:type="dxa" w:w="1386"/>
            <w:vAlign w:val="top"/>
          </w:tcPr>
          <w:p>
            <w:r>
              <w:rPr>
                <w:sz w:val="14"/>
              </w:rPr>
              <w:t>Binding law</w:t>
            </w:r>
          </w:p>
        </w:tc>
        <w:tc>
          <w:tcPr>
            <w:tcW w:type="dxa" w:w="1386"/>
            <w:vAlign w:val="top"/>
          </w:tcPr>
          <w:p>
            <w:r>
              <w:rPr>
                <w:sz w:val="14"/>
              </w:rPr>
              <w:t>Verify current guidance and national interpretation</w:t>
            </w:r>
          </w:p>
        </w:tc>
        <w:tc>
          <w:tcPr>
            <w:tcW w:type="dxa" w:w="1386"/>
            <w:vAlign w:val="top"/>
          </w:tcPr>
          <w:p>
            <w:r>
              <w:rPr>
                <w:sz w:val="14"/>
              </w:rPr>
              <w:t>Lawful data use, rights, security and accountability</w:t>
            </w:r>
          </w:p>
        </w:tc>
        <w:tc>
          <w:tcPr>
            <w:tcW w:type="dxa" w:w="1386"/>
            <w:vAlign w:val="top"/>
          </w:tcPr>
          <w:p>
            <w:r>
              <w:rPr>
                <w:sz w:val="14"/>
              </w:rPr>
              <w:t>Current</w:t>
            </w:r>
          </w:p>
        </w:tc>
        <w:tc>
          <w:tcPr>
            <w:tcW w:type="dxa" w:w="1386"/>
            <w:vAlign w:val="top"/>
          </w:tcPr>
          <w:p>
            <w:r>
              <w:rPr>
                <w:sz w:val="14"/>
              </w:rPr>
              <w:t>EUR-Lex / national authority</w:t>
            </w:r>
          </w:p>
        </w:tc>
        <w:tc>
          <w:tcPr>
            <w:tcW w:type="dxa" w:w="1386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386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386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386"/>
            <w:vAlign w:val="top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1386"/>
            <w:vAlign w:val="top"/>
            <w:shd w:fill="F2E8EB"/>
          </w:tcPr>
          <w:p>
            <w:r>
              <w:rPr>
                <w:sz w:val="14"/>
              </w:rPr>
              <w:t>Medical-device framework</w:t>
            </w:r>
          </w:p>
        </w:tc>
        <w:tc>
          <w:tcPr>
            <w:tcW w:type="dxa" w:w="1386"/>
            <w:vAlign w:val="top"/>
          </w:tcPr>
          <w:p>
            <w:r>
              <w:rPr>
                <w:sz w:val="14"/>
              </w:rPr>
              <w:t>EU and national competent authority</w:t>
            </w:r>
          </w:p>
        </w:tc>
        <w:tc>
          <w:tcPr>
            <w:tcW w:type="dxa" w:w="1386"/>
            <w:vAlign w:val="top"/>
          </w:tcPr>
          <w:p>
            <w:r>
              <w:rPr>
                <w:sz w:val="14"/>
              </w:rPr>
              <w:t>Binding sectoral law where applicable</w:t>
            </w:r>
          </w:p>
        </w:tc>
        <w:tc>
          <w:tcPr>
            <w:tcW w:type="dxa" w:w="1386"/>
            <w:vAlign w:val="top"/>
          </w:tcPr>
          <w:p>
            <w:r>
              <w:rPr>
                <w:sz w:val="14"/>
              </w:rPr>
              <w:t>Verify qualification/classification</w:t>
            </w:r>
          </w:p>
        </w:tc>
        <w:tc>
          <w:tcPr>
            <w:tcW w:type="dxa" w:w="1386"/>
            <w:vAlign w:val="top"/>
          </w:tcPr>
          <w:p>
            <w:r>
              <w:rPr>
                <w:sz w:val="14"/>
              </w:rPr>
              <w:t>Conformity, clinical evidence, post-market and change obligations</w:t>
            </w:r>
          </w:p>
        </w:tc>
        <w:tc>
          <w:tcPr>
            <w:tcW w:type="dxa" w:w="1386"/>
            <w:vAlign w:val="top"/>
          </w:tcPr>
          <w:p>
            <w:r>
              <w:rPr>
                <w:sz w:val="14"/>
              </w:rPr>
              <w:t>Current / transitional where applicable</w:t>
            </w:r>
          </w:p>
        </w:tc>
        <w:tc>
          <w:tcPr>
            <w:tcW w:type="dxa" w:w="1386"/>
            <w:vAlign w:val="top"/>
          </w:tcPr>
          <w:p>
            <w:r>
              <w:rPr>
                <w:sz w:val="14"/>
              </w:rPr>
              <w:t>EUR-Lex / competent authority</w:t>
            </w:r>
          </w:p>
        </w:tc>
        <w:tc>
          <w:tcPr>
            <w:tcW w:type="dxa" w:w="1386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386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386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386"/>
            <w:vAlign w:val="top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1386"/>
            <w:vAlign w:val="top"/>
            <w:shd w:fill="F2E8EB"/>
          </w:tcPr>
          <w:p>
            <w:r>
              <w:rPr>
                <w:sz w:val="14"/>
              </w:rPr>
              <w:t>ISO/IEC AI and healthcare-quality standards</w:t>
            </w:r>
          </w:p>
        </w:tc>
        <w:tc>
          <w:tcPr>
            <w:tcW w:type="dxa" w:w="1386"/>
            <w:vAlign w:val="top"/>
          </w:tcPr>
          <w:p>
            <w:r>
              <w:rPr>
                <w:sz w:val="14"/>
              </w:rPr>
              <w:t>International</w:t>
            </w:r>
          </w:p>
        </w:tc>
        <w:tc>
          <w:tcPr>
            <w:tcW w:type="dxa" w:w="1386"/>
            <w:vAlign w:val="top"/>
          </w:tcPr>
          <w:p>
            <w:r>
              <w:rPr>
                <w:sz w:val="14"/>
              </w:rPr>
              <w:t>Voluntary standards unless adopted contractually or legally</w:t>
            </w:r>
          </w:p>
        </w:tc>
        <w:tc>
          <w:tcPr>
            <w:tcW w:type="dxa" w:w="1386"/>
            <w:vAlign w:val="top"/>
          </w:tcPr>
          <w:p>
            <w:r>
              <w:rPr>
                <w:sz w:val="14"/>
              </w:rPr>
              <w:t>Verify current edition</w:t>
            </w:r>
          </w:p>
        </w:tc>
        <w:tc>
          <w:tcPr>
            <w:tcW w:type="dxa" w:w="1386"/>
            <w:vAlign w:val="top"/>
          </w:tcPr>
          <w:p>
            <w:r>
              <w:rPr>
                <w:sz w:val="14"/>
              </w:rPr>
              <w:t>Management systems, risk, quality and audit</w:t>
            </w:r>
          </w:p>
        </w:tc>
        <w:tc>
          <w:tcPr>
            <w:tcW w:type="dxa" w:w="1386"/>
            <w:vAlign w:val="top"/>
          </w:tcPr>
          <w:p>
            <w:r>
              <w:rPr>
                <w:sz w:val="14"/>
              </w:rPr>
              <w:t>Current edition</w:t>
            </w:r>
          </w:p>
        </w:tc>
        <w:tc>
          <w:tcPr>
            <w:tcW w:type="dxa" w:w="1386"/>
            <w:vAlign w:val="top"/>
          </w:tcPr>
          <w:p>
            <w:r>
              <w:rPr>
                <w:sz w:val="14"/>
              </w:rPr>
              <w:t>ISO</w:t>
            </w:r>
          </w:p>
        </w:tc>
        <w:tc>
          <w:tcPr>
            <w:tcW w:type="dxa" w:w="1386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386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386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386"/>
            <w:vAlign w:val="top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1386"/>
            <w:vAlign w:val="top"/>
            <w:shd w:fill="F2E8EB"/>
          </w:tcPr>
          <w:p>
            <w:r>
              <w:rPr>
                <w:sz w:val="14"/>
              </w:rPr>
              <w:t>Romanian digital-health strategy</w:t>
            </w:r>
          </w:p>
        </w:tc>
        <w:tc>
          <w:tcPr>
            <w:tcW w:type="dxa" w:w="1386"/>
            <w:vAlign w:val="top"/>
          </w:tcPr>
          <w:p>
            <w:r>
              <w:rPr>
                <w:sz w:val="14"/>
              </w:rPr>
              <w:t>Romania</w:t>
            </w:r>
          </w:p>
        </w:tc>
        <w:tc>
          <w:tcPr>
            <w:tcW w:type="dxa" w:w="1386"/>
            <w:vAlign w:val="top"/>
          </w:tcPr>
          <w:p>
            <w:r>
              <w:rPr>
                <w:sz w:val="14"/>
              </w:rPr>
              <w:t>National policy/strategy</w:t>
            </w:r>
          </w:p>
        </w:tc>
        <w:tc>
          <w:tcPr>
            <w:tcW w:type="dxa" w:w="1386"/>
            <w:vAlign w:val="top"/>
          </w:tcPr>
          <w:p>
            <w:r>
              <w:rPr>
                <w:sz w:val="14"/>
              </w:rPr>
              <w:t>Verify adopted version and implementation plan</w:t>
            </w:r>
          </w:p>
        </w:tc>
        <w:tc>
          <w:tcPr>
            <w:tcW w:type="dxa" w:w="1386"/>
            <w:vAlign w:val="top"/>
          </w:tcPr>
          <w:p>
            <w:r>
              <w:rPr>
                <w:sz w:val="14"/>
              </w:rPr>
              <w:t>National health-data, interoperability and capability priorities</w:t>
            </w:r>
          </w:p>
        </w:tc>
        <w:tc>
          <w:tcPr>
            <w:tcW w:type="dxa" w:w="1386"/>
            <w:vAlign w:val="top"/>
          </w:tcPr>
          <w:p>
            <w:r>
              <w:rPr>
                <w:sz w:val="14"/>
              </w:rPr>
              <w:t>Verify current formal status</w:t>
            </w:r>
          </w:p>
        </w:tc>
        <w:tc>
          <w:tcPr>
            <w:tcW w:type="dxa" w:w="1386"/>
            <w:vAlign w:val="top"/>
          </w:tcPr>
          <w:p>
            <w:r>
              <w:rPr>
                <w:sz w:val="14"/>
              </w:rPr>
              <w:t>Ministry of Health of Romania</w:t>
            </w:r>
          </w:p>
        </w:tc>
        <w:tc>
          <w:tcPr>
            <w:tcW w:type="dxa" w:w="1386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386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386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386"/>
            <w:vAlign w:val="top"/>
          </w:tcPr>
          <w:p>
            <w:r>
              <w:rPr>
                <w:sz w:val="14"/>
              </w:rPr>
            </w:r>
          </w:p>
        </w:tc>
      </w:tr>
    </w:tbl>
    <w:sectPr>
      <w:footerReference w:type="default" r:id="rId9"/>
      <w:headerReference w:type="default" r:id="rId10"/>
      <w:pgSz w:w="16834" w:h="11909" w:orient="landscape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877567"/>
        <w:sz w:val="16"/>
      </w:rPr>
      <w:t xml:space="preserve">Muthana Zouri · Carmen Marinela Cumpăt   |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6B2230"/>
        <w:sz w:val="16"/>
      </w:rPr>
      <w:t>DIGITAL RESOURCE COMPANION ·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re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re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re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6B223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30323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6B223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30323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30323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30323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303236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03236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303236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303236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877567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6B223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303236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303236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303236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30323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30323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30323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303236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303236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877567" w:themeColor="accent1"/>
      </w:pBdr>
      <w:spacing w:before="200" w:after="280"/>
      <w:ind w:left="936" w:right="936"/>
    </w:pPr>
    <w:rPr>
      <w:b/>
      <w:bCs/>
      <w:i/>
      <w:iCs/>
      <w:color w:val="30323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303236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303236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303236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303236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877567" w:themeColor="accent1"/>
        <w:bottom w:val="single" w:sz="8" w:space="0" w:color="877567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77567" w:themeColor="accent1"/>
          <w:left w:val="nil"/>
          <w:bottom w:val="single" w:sz="8" w:space="0" w:color="877567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77567" w:themeColor="accent1"/>
          <w:left w:val="nil"/>
          <w:bottom w:val="single" w:sz="8" w:space="0" w:color="877567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77567" w:themeColor="accent1"/>
        <w:left w:val="single" w:sz="8" w:space="0" w:color="877567" w:themeColor="accent1"/>
        <w:bottom w:val="single" w:sz="8" w:space="0" w:color="877567" w:themeColor="accent1"/>
        <w:right w:val="single" w:sz="8" w:space="0" w:color="877567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77567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77567" w:themeColor="accent1"/>
          <w:left w:val="single" w:sz="8" w:space="0" w:color="877567" w:themeColor="accent1"/>
          <w:bottom w:val="single" w:sz="8" w:space="0" w:color="877567" w:themeColor="accent1"/>
          <w:right w:val="single" w:sz="8" w:space="0" w:color="877567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77567" w:themeColor="accent1"/>
          <w:left w:val="single" w:sz="8" w:space="0" w:color="877567" w:themeColor="accent1"/>
          <w:bottom w:val="single" w:sz="8" w:space="0" w:color="877567" w:themeColor="accent1"/>
          <w:right w:val="single" w:sz="8" w:space="0" w:color="877567" w:themeColor="accent1"/>
        </w:tcBorders>
      </w:tcPr>
    </w:tblStylePr>
    <w:tblStylePr w:type="band1Horz">
      <w:tblPr/>
      <w:tcPr>
        <w:tcBorders>
          <w:top w:val="single" w:sz="8" w:space="0" w:color="877567" w:themeColor="accent1"/>
          <w:left w:val="single" w:sz="8" w:space="0" w:color="877567" w:themeColor="accent1"/>
          <w:bottom w:val="single" w:sz="8" w:space="0" w:color="877567" w:themeColor="accent1"/>
          <w:right w:val="single" w:sz="8" w:space="0" w:color="877567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77567" w:themeColor="accent1"/>
        <w:left w:val="single" w:sz="8" w:space="0" w:color="877567" w:themeColor="accent1"/>
        <w:bottom w:val="single" w:sz="8" w:space="0" w:color="877567" w:themeColor="accent1"/>
        <w:right w:val="single" w:sz="8" w:space="0" w:color="877567" w:themeColor="accent1"/>
        <w:insideH w:val="single" w:sz="8" w:space="0" w:color="877567" w:themeColor="accent1"/>
        <w:insideV w:val="single" w:sz="8" w:space="0" w:color="877567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77567" w:themeColor="accent1"/>
          <w:left w:val="single" w:sz="8" w:space="0" w:color="877567" w:themeColor="accent1"/>
          <w:bottom w:val="single" w:sz="18" w:space="0" w:color="877567" w:themeColor="accent1"/>
          <w:right w:val="single" w:sz="8" w:space="0" w:color="877567" w:themeColor="accent1"/>
          <w:insideH w:val="nil"/>
          <w:insideV w:val="single" w:sz="8" w:space="0" w:color="877567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77567" w:themeColor="accent1"/>
          <w:left w:val="single" w:sz="8" w:space="0" w:color="877567" w:themeColor="accent1"/>
          <w:bottom w:val="single" w:sz="8" w:space="0" w:color="877567" w:themeColor="accent1"/>
          <w:right w:val="single" w:sz="8" w:space="0" w:color="877567" w:themeColor="accent1"/>
          <w:insideH w:val="nil"/>
          <w:insideV w:val="single" w:sz="8" w:space="0" w:color="877567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77567" w:themeColor="accent1"/>
          <w:left w:val="single" w:sz="8" w:space="0" w:color="877567" w:themeColor="accent1"/>
          <w:bottom w:val="single" w:sz="8" w:space="0" w:color="877567" w:themeColor="accent1"/>
          <w:right w:val="single" w:sz="8" w:space="0" w:color="877567" w:themeColor="accent1"/>
        </w:tcBorders>
      </w:tcPr>
    </w:tblStylePr>
    <w:tblStylePr w:type="band1Vert">
      <w:tblPr/>
      <w:tcPr>
        <w:tcBorders>
          <w:top w:val="single" w:sz="8" w:space="0" w:color="877567" w:themeColor="accent1"/>
          <w:left w:val="single" w:sz="8" w:space="0" w:color="877567" w:themeColor="accent1"/>
          <w:bottom w:val="single" w:sz="8" w:space="0" w:color="877567" w:themeColor="accent1"/>
          <w:right w:val="single" w:sz="8" w:space="0" w:color="877567" w:themeColor="accent1"/>
        </w:tcBorders>
        <w:shd w:val="clear" w:color="auto" w:fill="F5F0E7"/>
      </w:tcPr>
    </w:tblStylePr>
    <w:tblStylePr w:type="band1Horz">
      <w:tblPr/>
      <w:tcPr>
        <w:tcBorders>
          <w:top w:val="single" w:sz="8" w:space="0" w:color="877567" w:themeColor="accent1"/>
          <w:left w:val="single" w:sz="8" w:space="0" w:color="877567" w:themeColor="accent1"/>
          <w:bottom w:val="single" w:sz="8" w:space="0" w:color="877567" w:themeColor="accent1"/>
          <w:right w:val="single" w:sz="8" w:space="0" w:color="877567" w:themeColor="accent1"/>
          <w:insideV w:val="single" w:sz="8" w:space="0" w:color="877567" w:themeColor="accent1"/>
        </w:tcBorders>
        <w:shd w:val="clear" w:color="auto" w:fill="F5F0E7"/>
      </w:tcPr>
    </w:tblStylePr>
    <w:tblStylePr w:type="band2Horz">
      <w:tblPr/>
      <w:tcPr>
        <w:tcBorders>
          <w:top w:val="single" w:sz="8" w:space="0" w:color="877567" w:themeColor="accent1"/>
          <w:left w:val="single" w:sz="8" w:space="0" w:color="877567" w:themeColor="accent1"/>
          <w:bottom w:val="single" w:sz="8" w:space="0" w:color="877567" w:themeColor="accent1"/>
          <w:right w:val="single" w:sz="8" w:space="0" w:color="877567" w:themeColor="accent1"/>
          <w:insideV w:val="single" w:sz="8" w:space="0" w:color="877567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F5F0E7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F5F0E7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F5F0E7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F5F0E7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877567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nil"/>
          <w:insideV w:val="nil"/>
        </w:tcBorders>
        <w:shd w:val="clear" w:color="auto" w:fill="F5F0E7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nil"/>
          <w:insideV w:val="nil"/>
        </w:tcBorders>
        <w:shd w:val="clear" w:color="auto" w:fill="F5F0E7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nil"/>
          <w:insideV w:val="nil"/>
        </w:tcBorders>
        <w:shd w:val="clear" w:color="auto" w:fill="F5F0E7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77567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77567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77567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77567" w:themeColor="accent1"/>
        <w:bottom w:val="single" w:sz="8" w:space="0" w:color="877567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77567" w:themeColor="accent1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877567" w:themeColor="accent1"/>
          <w:bottom w:val="single" w:sz="8" w:space="0" w:color="877567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77567" w:themeColor="accent1"/>
          <w:bottom w:val="single" w:sz="8" w:space="0" w:color="877567" w:themeColor="accent1"/>
        </w:tcBorders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77567" w:themeColor="accent1"/>
        <w:left w:val="single" w:sz="8" w:space="0" w:color="877567" w:themeColor="accent1"/>
        <w:bottom w:val="single" w:sz="8" w:space="0" w:color="877567" w:themeColor="accent1"/>
        <w:right w:val="single" w:sz="8" w:space="0" w:color="877567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77567" w:themeColor="accent1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77567" w:themeColor="accen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77567" w:themeColor="accent1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77567" w:themeColor="accent1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77567" w:themeColor="accent1"/>
        <w:left w:val="single" w:sz="8" w:space="0" w:color="877567" w:themeColor="accent1"/>
        <w:bottom w:val="single" w:sz="8" w:space="0" w:color="877567" w:themeColor="accent1"/>
        <w:right w:val="single" w:sz="8" w:space="0" w:color="877567" w:themeColor="accent1"/>
        <w:insideH w:val="single" w:sz="8" w:space="0" w:color="877567" w:themeColor="accent1"/>
        <w:insideV w:val="single" w:sz="8" w:space="0" w:color="877567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000000"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single" w:sz="6" w:space="0" w:color="877567" w:themeColor="accent1"/>
          <w:insideV w:val="single" w:sz="6" w:space="0" w:color="877567" w:themeColor="accent1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000000"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000000"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77567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77567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77567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77567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5F0E7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5F0E7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5F0E7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77567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77567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77567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77567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77567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6B223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6B223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877567" w:themeColor="accent1"/>
        <w:bottom w:val="single" w:sz="4" w:space="0" w:color="877567" w:themeColor="accent1"/>
        <w:right w:val="single" w:sz="4" w:space="0" w:color="877567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6B22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6B22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6B22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6B22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6B22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6B22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E3A38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E3A38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E3A38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6B2230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7E9C40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F2730A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6B2230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shd w:val="clear" w:color="auto" w:fill="F5F0E7"/>
      </w:tcPr>
    </w:tblStylePr>
    <w:tblStylePr w:type="firstCol">
      <w:rPr>
        <w:color w:val="FFFFFF"/>
      </w:rPr>
      <w:tblPr/>
      <w:tcPr>
        <w:shd w:val="clear" w:color="auto" w:fill="877567"/>
      </w:tcPr>
    </w:tblStylePr>
    <w:tblStylePr w:type="lastCol">
      <w:rPr>
        <w:color w:val="FFFFFF"/>
      </w:rPr>
      <w:tblPr/>
      <w:tcPr>
        <w:shd w:val="clear" w:color="auto" w:fill="877567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shd w:val="clear" w:color="auto" w:fill="F5F0E7"/>
      </w:tcPr>
    </w:tblStylePr>
    <w:tblStylePr w:type="firstCol">
      <w:rPr>
        <w:color w:val="FFFFFF"/>
      </w:rPr>
      <w:tblPr/>
      <w:tcPr>
        <w:shd w:val="clear" w:color="auto" w:fill="6B2230"/>
      </w:tcPr>
    </w:tblStylePr>
    <w:tblStylePr w:type="lastCol">
      <w:rPr>
        <w:color w:val="FFFFFF"/>
      </w:rPr>
      <w:tblPr/>
      <w:tcPr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shd w:val="clear" w:color="auto" w:fill="F5F0E7"/>
      </w:tcPr>
    </w:tblStylePr>
    <w:tblStylePr w:type="firstCol">
      <w:rPr>
        <w:color w:val="FFFFFF"/>
      </w:rPr>
      <w:tblPr/>
      <w:tcPr>
        <w:shd w:val="clear" w:color="auto" w:fill="6B2230"/>
      </w:tcPr>
    </w:tblStylePr>
    <w:tblStylePr w:type="lastCol">
      <w:rPr>
        <w:color w:val="FFFFFF"/>
      </w:rPr>
      <w:tblPr/>
      <w:tcPr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0323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30323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30323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30323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30323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30323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303236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03236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303236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303236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03236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303236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303236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303236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30323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30323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30323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303236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303236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30323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303236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303236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03236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F5F0E7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F5F0E7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F5F0E7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F5F0E7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F5F0E7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F5F0E7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nil"/>
          <w:insideV w:val="nil"/>
        </w:tcBorders>
        <w:shd w:val="clear" w:color="auto" w:fill="F5F0E7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nil"/>
          <w:insideV w:val="nil"/>
        </w:tcBorders>
        <w:shd w:val="clear" w:color="auto" w:fill="F5F0E7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nil"/>
          <w:insideV w:val="nil"/>
        </w:tcBorders>
        <w:shd w:val="clear" w:color="auto" w:fill="F5F0E7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303236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000000"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000000"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000000"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F5F0E7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5F0E7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5F0E7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B223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5F0E7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5F0E7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6B223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6B223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6B223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B2230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6B22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6B22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6B22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6B22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6B22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6B22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6B2230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6B2230"/>
      </w:tcPr>
    </w:tblStylePr>
    <w:tblStylePr w:type="lastRow">
      <w:rPr>
        <w:b/>
        <w:bCs/>
        <w:color w:val="303236"/>
      </w:rPr>
      <w:tblPr/>
      <w:tcPr>
        <w:tcBorders>
          <w:top w:val="single" w:sz="12" w:space="0" w:color="000000" w:themeColor="text1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shd w:val="clear" w:color="auto" w:fill="F5F0E7"/>
      </w:tcPr>
    </w:tblStylePr>
    <w:tblStylePr w:type="firstCol">
      <w:rPr>
        <w:color w:val="FFFFFF"/>
      </w:rPr>
      <w:tblPr/>
      <w:tcPr>
        <w:shd w:val="clear" w:color="auto" w:fill="6B2230"/>
      </w:tcPr>
    </w:tblStylePr>
    <w:tblStylePr w:type="lastCol">
      <w:rPr>
        <w:color w:val="FFFFFF"/>
      </w:rPr>
      <w:tblPr/>
      <w:tcPr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shd w:val="clear" w:color="auto" w:fill="F5F0E7"/>
      </w:tcPr>
    </w:tblStylePr>
    <w:tblStylePr w:type="firstCol">
      <w:rPr>
        <w:color w:val="FFFFFF"/>
      </w:rPr>
      <w:tblPr/>
      <w:tcPr>
        <w:shd w:val="clear" w:color="auto" w:fill="6B2230"/>
      </w:tcPr>
    </w:tblStylePr>
    <w:tblStylePr w:type="lastCol">
      <w:rPr>
        <w:color w:val="FFFFFF"/>
      </w:rPr>
      <w:tblPr/>
      <w:tcPr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0E7"/>
    </w:tcPr>
    <w:tblStylePr w:type="firstRow">
      <w:rPr>
        <w:b/>
        <w:bCs/>
      </w:rPr>
      <w:tblPr/>
      <w:tcPr>
        <w:shd w:val="clear" w:color="auto" w:fill="F5F0E7"/>
      </w:tcPr>
    </w:tblStylePr>
    <w:tblStylePr w:type="lastRow">
      <w:rPr>
        <w:b/>
        <w:bCs/>
        <w:color w:val="000000"/>
      </w:rPr>
      <w:tblPr/>
      <w:tcPr>
        <w:shd w:val="clear" w:color="auto" w:fill="F5F0E7"/>
      </w:tcPr>
    </w:tblStylePr>
    <w:tblStylePr w:type="firstCol">
      <w:rPr>
        <w:color w:val="FFFFFF"/>
      </w:rPr>
      <w:tblPr/>
      <w:tcPr>
        <w:shd w:val="clear" w:color="auto" w:fill="6B2230"/>
      </w:tcPr>
    </w:tblStylePr>
    <w:tblStylePr w:type="lastCol">
      <w:rPr>
        <w:color w:val="FFFFFF"/>
      </w:rPr>
      <w:tblPr/>
      <w:tcPr>
        <w:shd w:val="clear" w:color="auto" w:fill="6B2230"/>
      </w:tcPr>
    </w:tblStylePr>
    <w:tblStylePr w:type="band1Vert">
      <w:tblPr/>
      <w:tcPr>
        <w:shd w:val="clear" w:color="auto" w:fill="F5F0E7"/>
      </w:tcPr>
    </w:tblStylePr>
    <w:tblStylePr w:type="band1Horz">
      <w:tblPr/>
      <w:tcPr>
        <w:shd w:val="clear" w:color="auto" w:fill="F5F0E7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303236"/>
      </a:dk2>
      <a:lt2>
        <a:srgbClr val="F5F0E7"/>
      </a:lt2>
      <a:accent1>
        <a:srgbClr val="6B2230"/>
      </a:accent1>
      <a:accent2>
        <a:srgbClr val="BDA477"/>
      </a:accent2>
      <a:accent3>
        <a:srgbClr val="877567"/>
      </a:accent3>
      <a:accent4>
        <a:srgbClr val="303236"/>
      </a:accent4>
      <a:accent5>
        <a:srgbClr val="A36570"/>
      </a:accent5>
      <a:accent6>
        <a:srgbClr val="DDD0B7"/>
      </a:accent6>
      <a:hlink>
        <a:srgbClr val="6B2230"/>
      </a:hlink>
      <a:folHlink>
        <a:srgbClr val="877567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>
  <Application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Digital Resource Companion</dc:title>
  <dc:subject>Healthcare management, economics, evidence, and lifecycle governance</dc:subject>
  <dc:creator>Muthana Zouri; Carmen Marinela Cumpăt</dc:creator>
  <cp:lastModifiedBy/>
  <cp:revision>1</cp:revision>
</cp:coreProperties>
</file>