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AIHE-AE — AI-HED Completeness and Decision-Quality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09: 09_Dossier_Decision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Review dossier completeness, confidence, inconsistencies, mandatory safeguards, decision readiness, and remediation.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This institutional review replaces the former grading-oriented dossier rubric. It tests completeness, internal consistency, confidence, mandatory safeguards, and decision readiness; it is not a student score.</w:t>
      </w:r>
    </w:p>
    <w:p>
      <w:pPr>
        <w:pStyle w:val="Heading1"/>
        <w:keepNext/>
      </w:pPr>
      <w:r>
        <w:t>AI-HED completeness and decision-quality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6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decision-quality requirement</w:t>
            </w:r>
          </w:p>
        </w:tc>
        <w:tc>
          <w:tcPr>
            <w:tcW w:type="dxa" w:w="10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0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Confidence</w:t>
            </w:r>
          </w:p>
        </w:tc>
        <w:tc>
          <w:tcPr>
            <w:tcW w:type="dxa" w:w="230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Critical gap or inconsistency</w:t>
            </w:r>
          </w:p>
        </w:tc>
        <w:tc>
          <w:tcPr>
            <w:tcW w:type="dxa" w:w="22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Action / owner / due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Measurable problem, intended use, excluded use, realistic alternatives, decision rule.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None.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Maintain through change control.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readiness and governance</w:t>
            </w:r>
          </w:p>
        </w:tc>
        <w:tc>
          <w:tcPr>
            <w:tcW w:type="dxa" w:w="36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Sources, fitness, provenance, lawful basis, access, representativeness, continuity.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One terminology map pending.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steward—before pilot.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Evidence and local validation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External appraisal, local performance, calibration, subgroups, human factors, workflow utility.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Rare-event uncertainty remains.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Monitor prospectively.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analysis</w:t>
            </w:r>
          </w:p>
        </w:tc>
        <w:tc>
          <w:tcPr>
            <w:tcW w:type="dxa" w:w="36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TCAIO, benefit mechanism, BIA, CEA/NMB where relevant, uncertainty, distribution, opportunity cost.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Savings depend on adoption.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owner—90-day review.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Ethics, equity, privacy, security, trust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Rights, safeguards, residual risk, human alternative, accessibility, incident response.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 notice requires usability test.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 relations—30 days.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Procurement and contract</w:t>
            </w:r>
          </w:p>
        </w:tc>
        <w:tc>
          <w:tcPr>
            <w:tcW w:type="dxa" w:w="36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Evidence, audit, updates, pricing, service levels, data rights, exit, liability, assurance.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None.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at signature.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Implementation and workforce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Stage plan, workflow, training, competency, capacity, adoption, change support.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Night-shift training not complete.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educator—before launch.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lifecycle</w:t>
            </w:r>
          </w:p>
        </w:tc>
        <w:tc>
          <w:tcPr>
            <w:tcW w:type="dxa" w:w="360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Cadence, metrics, thresholds, incidents, material change, renewal, de-adoption.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230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None.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pilot review.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record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Recommendation, conditions, owners, dissent, authority, review date, trigger events.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None.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Archive signed record.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Mandatory safeguards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30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Safeguard</w:t>
            </w:r>
          </w:p>
        </w:tc>
        <w:tc>
          <w:tcPr>
            <w:tcW w:type="dxa" w:w="22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Pass / conditional / fail</w:t>
            </w:r>
          </w:p>
        </w:tc>
        <w:tc>
          <w:tcPr>
            <w:tcW w:type="dxa" w:w="554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and residual risk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Patient safety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review and fallback tested.</w:t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Lawful and proportionate data use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55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Final access approval pending.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cybersecurity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 testing complete; residual vendor risk accepted.</w:t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 and non-discrimination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55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Prospective subgroup monitoring required.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oversight and accountability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owner, escalation, override, and pause authority.</w:t>
            </w:r>
          </w:p>
        </w:tc>
      </w:tr>
      <w:tr>
        <w:tc>
          <w:tcPr>
            <w:tcW w:type="dxa" w:w="302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ability to stop</w:t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55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Thresholds, rollback, and de-adoption plan tested.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