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AIHE-D03 — Post-Deployment Monitoring and Algorithmovigilance Cadence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Define recurring and event-triggered surveillance across technical, workflow, safety, equity, economic, and contractual domains.</w:t>
      </w:r>
    </w:p>
    <w:p>
      <w:r>
        <w:rPr>
          <w:rFonts w:ascii="Aptos" w:hAnsi="Aptos"/>
          <w:sz w:val="17"/>
        </w:rPr>
        <w:t>Resource: AIHE-D03  |  V1.0  |  Aligned chapters: 5, 11, 12</w:t>
      </w:r>
    </w:p>
    <w:p>
      <w:r>
        <w:t>The cadences below are illustrative. Set local review frequency in proportion to consequence, uncertainty, rate of change, scale, reversibility, and institutional dependence. Scheduled review does not replace event-triggered reconsideration (book §12.4.1).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Minimum review content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Owner or forum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Continuous or daily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Technical integrity and immediate service protection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Availability, latency, interfaces, input completeness, deployed version, logging, cybersecurity alerts, and fallback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Technical operations and service owner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Weekly during pilots or high-consequence use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Workflow and operational review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Output volume, action, overrides, delays, workarounds, review burden, near misses, and downstream capacity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Clinical and operational leads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Monthly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Multidisciplinary safety and performance review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Technical and human–AI performance, outcomes, complaints, incidents, vendor notices, training, and corrective actions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Quality and AI-governance forum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Quarterly or semi-annually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Distributional, workforce, and economic review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Subgroups, access, workload, adoption, lifecycle cost, benefit realization, budget impact, equity, and trust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Economics, quality, equity, workforce, and governance leads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Annually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Formal renewal, restriction, replacement, or retirement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Current intended use, evidence, value, residual risk, contract, updates, alternatives, monitoring capacity, and exit readiness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Executive decision authority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Event triggered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Material change or serious incident review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Model, data, threshold, interface, workflow, vendor, security, policy, population, price, or serious performance change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Named incident or change authority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AIHE-D03 — Post-Deployment Monitoring and Algorithmovigilance Cadence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Define recurring and event-triggered surveillance across technical, workflow, safety, equity, economic, and contractual domains.</w:t>
      </w:r>
    </w:p>
    <w:p>
      <w:r>
        <w:rPr>
          <w:rFonts w:ascii="Aptos" w:hAnsi="Aptos"/>
          <w:sz w:val="17"/>
        </w:rPr>
        <w:t>Resource: AIHE-D03  |  V1.0  |  Aligned chapters: 5, 11, 12</w:t>
      </w:r>
    </w:p>
    <w:p>
      <w:r>
        <w:t>The cadences below are illustrative. Set local review frequency in proportion to consequence, uncertainty, rate of change, scale, reversibility, and institutional dependence. Scheduled review does not replace event-triggered reconsideration (book §12.4.1).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Minimum review content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Owner or forum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Continuous or daily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Technical integrity and immediate service protection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Availability, latency, interfaces, input completeness, deployed version, logging, cybersecurity alerts, and fallback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Technical operations and service owner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Weekly during pilots or high-consequence use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Workflow and operational review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Output volume, action, overrides, delays, workarounds, review burden, near misses, and downstream capacity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Clinical and operational leads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Monthly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Multidisciplinary safety and performance review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Technical and human–AI performance, outcomes, complaints, incidents, vendor notices, training, and corrective actions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Quality and AI-governance forum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Quarterly or semi-annually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Distributional, workforce, and economic review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Subgroups, access, workload, adoption, lifecycle cost, benefit realization, budget impact, equity, and trust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Economics, quality, equity, workforce, and governance leads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Annually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Formal renewal, restriction, replacement, or retirement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Current intended use, evidence, value, residual risk, contract, updates, alternatives, monitoring capacity, and exit readiness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Executive decision authority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Event triggered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Material change or serious incident review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Model, data, threshold, interface, workflow, vendor, security, policy, population, price, or serious performance change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Named incident or change authority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