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re"/>
      </w:pPr>
      <w:r>
        <w:rPr>
          <w:rFonts w:ascii="Arial" w:hAnsi="Arial"/>
          <w:color w:val="303236"/>
        </w:rPr>
        <w:t>AIHE-S — Algorithmovigilance Dashboard, Cadence, and Incident Record</w:t>
      </w:r>
    </w:p>
    <w:p>
      <w:r>
        <w:rPr>
          <w:rFonts w:ascii="Arial" w:hAnsi="Arial"/>
          <w:color w:val="595959"/>
          <w:sz w:val="17"/>
        </w:rPr>
        <w:t>Current digital location: Resource Set D — Procurement, Implementation, and Lifecycle Governance. Stable resource ID retained for continuity across companion editions.</w:t>
      </w:r>
    </w:p>
    <w:p>
      <w:pPr>
        <w:jc w:val="centre"/>
      </w:pPr>
      <w:r>
        <w:rPr>
          <w:b/>
          <w:color w:val="303236"/>
        </w:rPr>
        <w:t>Synthetic worked example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Current digital location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Resource Set D — Procurement, Implementation, and Lifecycle Governance</w:t>
            </w:r>
          </w:p>
        </w:tc>
      </w:tr>
      <w:tr>
        <w:tc>
          <w:tcPr>
            <w:tcW w:type="dxa" w:w="5256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Related book chapters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Chapter 5: Quality Management, Accreditation, and Organizational Learning; Chapter 12: Decision Architecture and Lifecycle Governance</w:t>
            </w:r>
          </w:p>
        </w:tc>
      </w:tr>
      <w:tr>
        <w:tc>
          <w:tcPr>
            <w:tcW w:type="dxa" w:w="5256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Workflow step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08: 08_Monitoring_Lifecycle</w:t>
            </w:r>
          </w:p>
        </w:tc>
      </w:tr>
      <w:tr>
        <w:tc>
          <w:tcPr>
            <w:tcW w:type="dxa" w:w="5256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>
              <w:t>V1.0 | aligned to the twelve-chapter reference edition and Resource Sets A–D</w:t>
            </w:r>
          </w:p>
        </w:tc>
      </w:tr>
    </w:tbl>
    <w:p>
      <w:r>
        <w:rPr>
          <w:b/>
        </w:rPr>
        <w:t xml:space="preserve">Purpose. </w:t>
      </w:r>
      <w:r>
        <w:t>Operate daily technical checks, periodic service and economic review, incident classification, reconstruction, escalation, and annual renewal.</w:t>
      </w:r>
    </w:p>
    <w:p>
      <w:r>
        <w:rPr>
          <w:b/>
        </w:rPr>
        <w:t xml:space="preserve">Use note. </w:t>
      </w:r>
      <w:r>
        <w:t>Use the resource as a versioned institutional record. Adapt it to local law, policy, clinical practice, information security, procurement, and health-technology-assessment requirements. Do not enter identifiable patient data or confidential credentials into public copies.</w:t>
      </w:r>
    </w:p>
    <w:p>
      <w:r>
        <w:rPr>
          <w:b/>
        </w:rPr>
        <w:t xml:space="preserve">Worked-example status. </w:t>
      </w:r>
      <w:r>
        <w:t>All names, organizations, figures, findings, and decisions are fictional and are included only to demonstrate completion logic.</w:t>
      </w:r>
    </w:p>
    <w:p>
      <w:pPr>
        <w:pStyle w:val="Heading1"/>
        <w:keepNext/>
      </w:pPr>
      <w:r>
        <w:t>How to use this resource</w:t>
      </w:r>
    </w:p>
    <w:p>
      <w:r>
        <w:t>Algorithmovigilance is a recurring operating process rather than an annual compliance exercise. Technical, clinical, workflow, equity, economic, privacy, cybersecurity, and communication evidence should feed one versioned lifecycle record.</w:t>
      </w:r>
    </w:p>
    <w:p>
      <w:pPr>
        <w:pStyle w:val="Heading1"/>
        <w:keepNext/>
      </w:pPr>
      <w:r>
        <w:t>Monitoring dashboard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rPr>
          <w:tblHeader w:val="true"/>
        </w:trPr>
        <w:tc>
          <w:tcPr>
            <w:tcW w:type="dxa" w:w="1800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Domain</w:t>
            </w:r>
          </w:p>
        </w:tc>
        <w:tc>
          <w:tcPr>
            <w:tcW w:type="dxa" w:w="3240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Indicator / definition</w:t>
            </w:r>
          </w:p>
        </w:tc>
        <w:tc>
          <w:tcPr>
            <w:tcW w:type="dxa" w:w="1656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Baseline / target</w:t>
            </w:r>
          </w:p>
        </w:tc>
        <w:tc>
          <w:tcPr>
            <w:tcW w:type="dxa" w:w="1584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Threshold</w:t>
            </w:r>
          </w:p>
        </w:tc>
        <w:tc>
          <w:tcPr>
            <w:tcW w:type="dxa" w:w="1080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Frequency</w:t>
            </w:r>
          </w:p>
        </w:tc>
        <w:tc>
          <w:tcPr>
            <w:tcW w:type="dxa" w:w="1512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Owner</w:t>
            </w:r>
          </w:p>
        </w:tc>
        <w:tc>
          <w:tcPr>
            <w:tcW w:type="dxa" w:w="2232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Required response</w:t>
            </w:r>
          </w:p>
        </w:tc>
      </w:tr>
      <w:tr>
        <w:tc>
          <w:tcPr>
            <w:tcW w:type="dxa" w:w="180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5"/>
              </w:rPr>
              <w:t>Technical and data quality</w:t>
            </w:r>
          </w:p>
        </w:tc>
        <w:tc>
          <w:tcPr>
            <w:tcW w:type="dxa" w:w="324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Availability, latency, missing inputs, interface and logging failures.</w:t>
            </w:r>
          </w:p>
        </w:tc>
        <w:tc>
          <w:tcPr>
            <w:tcW w:type="dxa" w:w="16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99.5% uptime</w:t>
            </w:r>
          </w:p>
        </w:tc>
        <w:tc>
          <w:tcPr>
            <w:tcW w:type="dxa" w:w="158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&lt;98.5% or failed logs</w:t>
            </w:r>
          </w:p>
        </w:tc>
        <w:tc>
          <w:tcPr>
            <w:tcW w:type="dxa" w:w="10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Daily</w:t>
            </w:r>
          </w:p>
        </w:tc>
        <w:tc>
          <w:tcPr>
            <w:tcW w:type="dxa" w:w="151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Technical operations</w:t>
            </w:r>
          </w:p>
        </w:tc>
        <w:tc>
          <w:tcPr>
            <w:tcW w:type="dxa" w:w="223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Fallback, incident assessment, rollback if needed.</w:t>
            </w:r>
          </w:p>
        </w:tc>
      </w:tr>
      <w:tr>
        <w:tc>
          <w:tcPr>
            <w:tcW w:type="dxa" w:w="1800"/>
            <w:vAlign w:val="centre"/>
            <w:shd w:fill="F5F0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5"/>
              </w:rPr>
              <w:t>Clinical performance and safety</w:t>
            </w:r>
          </w:p>
        </w:tc>
        <w:tc>
          <w:tcPr>
            <w:tcW w:type="dxa" w:w="3240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Calibration, false negatives, false positives, near misses, adverse outcomes.</w:t>
            </w:r>
          </w:p>
        </w:tc>
        <w:tc>
          <w:tcPr>
            <w:tcW w:type="dxa" w:w="1656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Pilot baseline</w:t>
            </w:r>
          </w:p>
        </w:tc>
        <w:tc>
          <w:tcPr>
            <w:tcW w:type="dxa" w:w="1584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Material deterioration</w:t>
            </w:r>
          </w:p>
        </w:tc>
        <w:tc>
          <w:tcPr>
            <w:tcW w:type="dxa" w:w="1080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Monthly</w:t>
            </w:r>
          </w:p>
        </w:tc>
        <w:tc>
          <w:tcPr>
            <w:tcW w:type="dxa" w:w="1512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Clinical safety lead</w:t>
            </w:r>
          </w:p>
        </w:tc>
        <w:tc>
          <w:tcPr>
            <w:tcW w:type="dxa" w:w="2232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Clinical review and use restriction.</w:t>
            </w:r>
          </w:p>
        </w:tc>
      </w:tr>
      <w:tr>
        <w:tc>
          <w:tcPr>
            <w:tcW w:type="dxa" w:w="180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5"/>
              </w:rPr>
              <w:t>Workflow, workload, and adoption</w:t>
            </w:r>
          </w:p>
        </w:tc>
        <w:tc>
          <w:tcPr>
            <w:tcW w:type="dxa" w:w="324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Alert volume, action rate, override, delay, review and correction time.</w:t>
            </w:r>
          </w:p>
        </w:tc>
        <w:tc>
          <w:tcPr>
            <w:tcW w:type="dxa" w:w="16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Baseline workflow</w:t>
            </w:r>
          </w:p>
        </w:tc>
        <w:tc>
          <w:tcPr>
            <w:tcW w:type="dxa" w:w="158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Burden &gt; agreed limit</w:t>
            </w:r>
          </w:p>
        </w:tc>
        <w:tc>
          <w:tcPr>
            <w:tcW w:type="dxa" w:w="10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Weekly/monthly</w:t>
            </w:r>
          </w:p>
        </w:tc>
        <w:tc>
          <w:tcPr>
            <w:tcW w:type="dxa" w:w="151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Service lead</w:t>
            </w:r>
          </w:p>
        </w:tc>
        <w:tc>
          <w:tcPr>
            <w:tcW w:type="dxa" w:w="223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Threshold or workflow redesign.</w:t>
            </w:r>
          </w:p>
        </w:tc>
      </w:tr>
      <w:tr>
        <w:tc>
          <w:tcPr>
            <w:tcW w:type="dxa" w:w="1800"/>
            <w:vAlign w:val="centre"/>
            <w:shd w:fill="F5F0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5"/>
              </w:rPr>
              <w:t>Equity and access</w:t>
            </w:r>
          </w:p>
        </w:tc>
        <w:tc>
          <w:tcPr>
            <w:tcW w:type="dxa" w:w="3240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Performance, access, action, and outcome by relevant subgroup.</w:t>
            </w:r>
          </w:p>
        </w:tc>
        <w:tc>
          <w:tcPr>
            <w:tcW w:type="dxa" w:w="1656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No material disparity</w:t>
            </w:r>
          </w:p>
        </w:tc>
        <w:tc>
          <w:tcPr>
            <w:tcW w:type="dxa" w:w="1584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Predefined subgroup threshold</w:t>
            </w:r>
          </w:p>
        </w:tc>
        <w:tc>
          <w:tcPr>
            <w:tcW w:type="dxa" w:w="1080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Quarterly</w:t>
            </w:r>
          </w:p>
        </w:tc>
        <w:tc>
          <w:tcPr>
            <w:tcW w:type="dxa" w:w="1512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Equity lead</w:t>
            </w:r>
          </w:p>
        </w:tc>
        <w:tc>
          <w:tcPr>
            <w:tcW w:type="dxa" w:w="2232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Mitigation or restricted use.</w:t>
            </w:r>
          </w:p>
        </w:tc>
      </w:tr>
      <w:tr>
        <w:tc>
          <w:tcPr>
            <w:tcW w:type="dxa" w:w="180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5"/>
              </w:rPr>
              <w:t>Privacy and cybersecurity</w:t>
            </w:r>
          </w:p>
        </w:tc>
        <w:tc>
          <w:tcPr>
            <w:tcW w:type="dxa" w:w="324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Unauthorized access, prompt injection, data leakage, vulnerabilities, incidents.</w:t>
            </w:r>
          </w:p>
        </w:tc>
        <w:tc>
          <w:tcPr>
            <w:tcW w:type="dxa" w:w="16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No material event</w:t>
            </w:r>
          </w:p>
        </w:tc>
        <w:tc>
          <w:tcPr>
            <w:tcW w:type="dxa" w:w="158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Any serious event</w:t>
            </w:r>
          </w:p>
        </w:tc>
        <w:tc>
          <w:tcPr>
            <w:tcW w:type="dxa" w:w="10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Continuous</w:t>
            </w:r>
          </w:p>
        </w:tc>
        <w:tc>
          <w:tcPr>
            <w:tcW w:type="dxa" w:w="151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Privacy/security lead</w:t>
            </w:r>
          </w:p>
        </w:tc>
        <w:tc>
          <w:tcPr>
            <w:tcW w:type="dxa" w:w="223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Containment and incident response.</w:t>
            </w:r>
          </w:p>
        </w:tc>
      </w:tr>
      <w:tr>
        <w:tc>
          <w:tcPr>
            <w:tcW w:type="dxa" w:w="1800"/>
            <w:vAlign w:val="centre"/>
            <w:shd w:fill="F5F0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5"/>
              </w:rPr>
              <w:t>Economic value and budget</w:t>
            </w:r>
          </w:p>
        </w:tc>
        <w:tc>
          <w:tcPr>
            <w:tcW w:type="dxa" w:w="3240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Lifecycle cost, benefit realization, capacity, budget variance, downstream use.</w:t>
            </w:r>
          </w:p>
        </w:tc>
        <w:tc>
          <w:tcPr>
            <w:tcW w:type="dxa" w:w="1656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Approved business case</w:t>
            </w:r>
          </w:p>
        </w:tc>
        <w:tc>
          <w:tcPr>
            <w:tcW w:type="dxa" w:w="1584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Variance &gt;10%</w:t>
            </w:r>
          </w:p>
        </w:tc>
        <w:tc>
          <w:tcPr>
            <w:tcW w:type="dxa" w:w="1080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Quarterly</w:t>
            </w:r>
          </w:p>
        </w:tc>
        <w:tc>
          <w:tcPr>
            <w:tcW w:type="dxa" w:w="1512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Finance/service owner</w:t>
            </w:r>
          </w:p>
        </w:tc>
        <w:tc>
          <w:tcPr>
            <w:tcW w:type="dxa" w:w="2232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Reforecast and renewal conditions.</w:t>
            </w:r>
          </w:p>
        </w:tc>
      </w:tr>
      <w:tr>
        <w:tc>
          <w:tcPr>
            <w:tcW w:type="dxa" w:w="180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5"/>
              </w:rPr>
              <w:t>Communication and trust</w:t>
            </w:r>
          </w:p>
        </w:tc>
        <w:tc>
          <w:tcPr>
            <w:tcW w:type="dxa" w:w="324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Complaints, misinformation, disclosure, patient and workforce concerns.</w:t>
            </w:r>
          </w:p>
        </w:tc>
        <w:tc>
          <w:tcPr>
            <w:tcW w:type="dxa" w:w="16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Baseline</w:t>
            </w:r>
          </w:p>
        </w:tc>
        <w:tc>
          <w:tcPr>
            <w:tcW w:type="dxa" w:w="158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Repeated or serious event</w:t>
            </w:r>
          </w:p>
        </w:tc>
        <w:tc>
          <w:tcPr>
            <w:tcW w:type="dxa" w:w="10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Monthly</w:t>
            </w:r>
          </w:p>
        </w:tc>
        <w:tc>
          <w:tcPr>
            <w:tcW w:type="dxa" w:w="151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Patient relations</w:t>
            </w:r>
          </w:p>
        </w:tc>
        <w:tc>
          <w:tcPr>
            <w:tcW w:type="dxa" w:w="223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Correct communication and controls.</w:t>
            </w:r>
          </w:p>
        </w:tc>
      </w:tr>
      <w:tr>
        <w:tc>
          <w:tcPr>
            <w:tcW w:type="dxa" w:w="1800"/>
            <w:vAlign w:val="centre"/>
            <w:shd w:fill="F5F0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5"/>
              </w:rPr>
              <w:t>Vendor, update, and contract</w:t>
            </w:r>
          </w:p>
        </w:tc>
        <w:tc>
          <w:tcPr>
            <w:tcW w:type="dxa" w:w="3240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Versions, notices, service levels, audit, support, price and material changes.</w:t>
            </w:r>
          </w:p>
        </w:tc>
        <w:tc>
          <w:tcPr>
            <w:tcW w:type="dxa" w:w="1656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Approved version</w:t>
            </w:r>
          </w:p>
        </w:tc>
        <w:tc>
          <w:tcPr>
            <w:tcW w:type="dxa" w:w="1584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Unapproved change</w:t>
            </w:r>
          </w:p>
        </w:tc>
        <w:tc>
          <w:tcPr>
            <w:tcW w:type="dxa" w:w="1080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Monthly/event</w:t>
            </w:r>
          </w:p>
        </w:tc>
        <w:tc>
          <w:tcPr>
            <w:tcW w:type="dxa" w:w="1512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Contract owner</w:t>
            </w:r>
          </w:p>
        </w:tc>
        <w:tc>
          <w:tcPr>
            <w:tcW w:type="dxa" w:w="2232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Block update or invoke remedy.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Operating cadence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1584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Frequency</w:t>
            </w:r>
          </w:p>
        </w:tc>
        <w:tc>
          <w:tcPr>
            <w:tcW w:type="dxa" w:w="2592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Primary purpose</w:t>
            </w:r>
          </w:p>
        </w:tc>
        <w:tc>
          <w:tcPr>
            <w:tcW w:type="dxa" w:w="4680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Minimum review content</w:t>
            </w:r>
          </w:p>
        </w:tc>
        <w:tc>
          <w:tcPr>
            <w:tcW w:type="dxa" w:w="2016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Primary owner or forum</w:t>
            </w:r>
          </w:p>
        </w:tc>
      </w:tr>
      <w:tr>
        <w:tc>
          <w:tcPr>
            <w:tcW w:type="dxa" w:w="1584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Continuous / daily</w:t>
            </w:r>
          </w:p>
        </w:tc>
        <w:tc>
          <w:tcPr>
            <w:tcW w:type="dxa" w:w="259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Technical surveillance and service protection</w:t>
            </w:r>
          </w:p>
        </w:tc>
        <w:tc>
          <w:tcPr>
            <w:tcW w:type="dxa" w:w="46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Availability, interfaces, data, latency, errors, cybersecurity, logging, version, fallback.</w:t>
            </w:r>
          </w:p>
        </w:tc>
        <w:tc>
          <w:tcPr>
            <w:tcW w:type="dxa" w:w="201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Technical operations</w:t>
            </w:r>
          </w:p>
        </w:tc>
      </w:tr>
      <w:tr>
        <w:tc>
          <w:tcPr>
            <w:tcW w:type="dxa" w:w="1584"/>
            <w:vAlign w:val="centre"/>
            <w:shd w:fill="F5F0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Weekly during pilots</w:t>
            </w:r>
          </w:p>
        </w:tc>
        <w:tc>
          <w:tcPr>
            <w:tcW w:type="dxa" w:w="2592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Operational and workflow review</w:t>
            </w:r>
          </w:p>
        </w:tc>
        <w:tc>
          <w:tcPr>
            <w:tcW w:type="dxa" w:w="4680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Volume, actions, overrides, response delay, workarounds, capacity, unresolved issues, near misses.</w:t>
            </w:r>
          </w:p>
        </w:tc>
        <w:tc>
          <w:tcPr>
            <w:tcW w:type="dxa" w:w="2016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Service lead</w:t>
            </w:r>
          </w:p>
        </w:tc>
      </w:tr>
      <w:tr>
        <w:tc>
          <w:tcPr>
            <w:tcW w:type="dxa" w:w="1584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Monthly</w:t>
            </w:r>
          </w:p>
        </w:tc>
        <w:tc>
          <w:tcPr>
            <w:tcW w:type="dxa" w:w="259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Multidisciplinary performance and safety review</w:t>
            </w:r>
          </w:p>
        </w:tc>
        <w:tc>
          <w:tcPr>
            <w:tcW w:type="dxa" w:w="46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Performance, calibration, outcomes, incidents, changes, training, corrective actions.</w:t>
            </w:r>
          </w:p>
        </w:tc>
        <w:tc>
          <w:tcPr>
            <w:tcW w:type="dxa" w:w="201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AI governance / quality group</w:t>
            </w:r>
          </w:p>
        </w:tc>
      </w:tr>
      <w:tr>
        <w:tc>
          <w:tcPr>
            <w:tcW w:type="dxa" w:w="1584"/>
            <w:vAlign w:val="centre"/>
            <w:shd w:fill="F5F0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Quarterly / semi-annually</w:t>
            </w:r>
          </w:p>
        </w:tc>
        <w:tc>
          <w:tcPr>
            <w:tcW w:type="dxa" w:w="2592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Subgroup, workforce, and economic reassessment</w:t>
            </w:r>
          </w:p>
        </w:tc>
        <w:tc>
          <w:tcPr>
            <w:tcW w:type="dxa" w:w="4680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Access, subgroup effects, workload, benefits, cost, budget, trust, comparator changes.</w:t>
            </w:r>
          </w:p>
        </w:tc>
        <w:tc>
          <w:tcPr>
            <w:tcW w:type="dxa" w:w="2016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Economics, equity, workforce</w:t>
            </w:r>
          </w:p>
        </w:tc>
      </w:tr>
      <w:tr>
        <w:tc>
          <w:tcPr>
            <w:tcW w:type="dxa" w:w="1584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Annually</w:t>
            </w:r>
          </w:p>
        </w:tc>
        <w:tc>
          <w:tcPr>
            <w:tcW w:type="dxa" w:w="259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Renew, restrict, replace, or retire</w:t>
            </w:r>
          </w:p>
        </w:tc>
        <w:tc>
          <w:tcPr>
            <w:tcW w:type="dxa" w:w="46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Intended use, evidence, value, risk, contract, alternatives, monitoring and exit readiness.</w:t>
            </w:r>
          </w:p>
        </w:tc>
        <w:tc>
          <w:tcPr>
            <w:tcW w:type="dxa" w:w="201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Executive and governance</w:t>
            </w:r>
          </w:p>
        </w:tc>
      </w:tr>
      <w:tr>
        <w:tc>
          <w:tcPr>
            <w:tcW w:type="dxa" w:w="1584"/>
            <w:vAlign w:val="centre"/>
            <w:shd w:fill="F5F0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Event triggered</w:t>
            </w:r>
          </w:p>
        </w:tc>
        <w:tc>
          <w:tcPr>
            <w:tcW w:type="dxa" w:w="2592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Extraordinary review</w:t>
            </w:r>
          </w:p>
        </w:tc>
        <w:tc>
          <w:tcPr>
            <w:tcW w:type="dxa" w:w="4680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Material change, serious incident, repeated anomaly, unexplained disparity, monitoring failure.</w:t>
            </w:r>
          </w:p>
        </w:tc>
        <w:tc>
          <w:tcPr>
            <w:tcW w:type="dxa" w:w="2016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Named incident lead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Seven-category incident taxonomy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1584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4680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Illustrative events or signals</w:t>
            </w:r>
          </w:p>
        </w:tc>
        <w:tc>
          <w:tcPr>
            <w:tcW w:type="dxa" w:w="4392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Immediate review and response</w:t>
            </w:r>
          </w:p>
        </w:tc>
      </w:tr>
      <w:tr>
        <w:tc>
          <w:tcPr>
            <w:tcW w:type="dxa" w:w="1584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Technical</w:t>
            </w:r>
          </w:p>
        </w:tc>
        <w:tc>
          <w:tcPr>
            <w:tcW w:type="dxa" w:w="46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Outage, latency, interface failure, missing input, corrupted transformation, wrong version, failed logging.</w:t>
            </w:r>
          </w:p>
        </w:tc>
        <w:tc>
          <w:tcPr>
            <w:tcW w:type="dxa" w:w="439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Protect continuity, preserve logs, verify affected outputs, rollback or restrict.</w:t>
            </w:r>
          </w:p>
        </w:tc>
      </w:tr>
      <w:tr>
        <w:tc>
          <w:tcPr>
            <w:tcW w:type="dxa" w:w="1584"/>
            <w:vAlign w:val="centre"/>
            <w:shd w:fill="F5F0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Clinical</w:t>
            </w:r>
          </w:p>
        </w:tc>
        <w:tc>
          <w:tcPr>
            <w:tcW w:type="dxa" w:w="4680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Unsafe recommendation, missed deterioration, delay, near miss, adverse outcome.</w:t>
            </w:r>
          </w:p>
        </w:tc>
        <w:tc>
          <w:tcPr>
            <w:tcW w:type="dxa" w:w="4392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Protect patients, clinical review, restrict use, notify safety functions.</w:t>
            </w:r>
          </w:p>
        </w:tc>
      </w:tr>
      <w:tr>
        <w:tc>
          <w:tcPr>
            <w:tcW w:type="dxa" w:w="1584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Workflow</w:t>
            </w:r>
          </w:p>
        </w:tc>
        <w:tc>
          <w:tcPr>
            <w:tcW w:type="dxa" w:w="46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Alert fatigue, workaround, role ambiguity, duplicate work, bottleneck migration, delayed action.</w:t>
            </w:r>
          </w:p>
        </w:tc>
        <w:tc>
          <w:tcPr>
            <w:tcW w:type="dxa" w:w="439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Map pathway, assess burden and capacity, redesign before scale.</w:t>
            </w:r>
          </w:p>
        </w:tc>
      </w:tr>
      <w:tr>
        <w:tc>
          <w:tcPr>
            <w:tcW w:type="dxa" w:w="1584"/>
            <w:vAlign w:val="centre"/>
            <w:shd w:fill="F5F0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Privacy</w:t>
            </w:r>
          </w:p>
        </w:tc>
        <w:tc>
          <w:tcPr>
            <w:tcW w:type="dxa" w:w="4680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Unauthorized use, excessive collection, disclosure, re-identification, retention, sensitive generated content.</w:t>
            </w:r>
          </w:p>
        </w:tc>
        <w:tc>
          <w:tcPr>
            <w:tcW w:type="dxa" w:w="4392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Contain, preserve audit trail, assess notification, correct data controls.</w:t>
            </w:r>
          </w:p>
        </w:tc>
      </w:tr>
      <w:tr>
        <w:tc>
          <w:tcPr>
            <w:tcW w:type="dxa" w:w="1584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Cybersecurity</w:t>
            </w:r>
          </w:p>
        </w:tc>
        <w:tc>
          <w:tcPr>
            <w:tcW w:type="dxa" w:w="46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Credential compromise, prompt injection, poisoning, adversarial input, extraction, exfiltration, ransomware.</w:t>
            </w:r>
          </w:p>
        </w:tc>
        <w:tc>
          <w:tcPr>
            <w:tcW w:type="dxa" w:w="439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Isolate, activate cyber plan, preserve evidence, verify model/data integrity.</w:t>
            </w:r>
          </w:p>
        </w:tc>
      </w:tr>
      <w:tr>
        <w:tc>
          <w:tcPr>
            <w:tcW w:type="dxa" w:w="1584"/>
            <w:vAlign w:val="centre"/>
            <w:shd w:fill="F5F0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Equity</w:t>
            </w:r>
          </w:p>
        </w:tc>
        <w:tc>
          <w:tcPr>
            <w:tcW w:type="dxa" w:w="4680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Subgroup deterioration, unequal access, language/disability exclusion, stigmatizing output.</w:t>
            </w:r>
          </w:p>
        </w:tc>
        <w:tc>
          <w:tcPr>
            <w:tcW w:type="dxa" w:w="4392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Analyse pathway and subgroups, mitigate, restrict if disparity cannot be controlled.</w:t>
            </w:r>
          </w:p>
        </w:tc>
      </w:tr>
      <w:tr>
        <w:tc>
          <w:tcPr>
            <w:tcW w:type="dxa" w:w="1584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Communication</w:t>
            </w:r>
          </w:p>
        </w:tc>
        <w:tc>
          <w:tcPr>
            <w:tcW w:type="dxa" w:w="46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Incorrect patient information, inconsistent advice, inadequate disclosure, unclear adverse-decision explanation.</w:t>
            </w:r>
          </w:p>
        </w:tc>
        <w:tc>
          <w:tcPr>
            <w:tcW w:type="dxa" w:w="439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Correct communication, identify recipients, assess consequences, revise review and escalation.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Minimum incident reconstruction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2088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Element</w:t>
            </w:r>
          </w:p>
        </w:tc>
        <w:tc>
          <w:tcPr>
            <w:tcW w:type="dxa" w:w="4536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Required record</w:t>
            </w:r>
          </w:p>
        </w:tc>
        <w:tc>
          <w:tcPr>
            <w:tcW w:type="dxa" w:w="4032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Incident-specific evidence</w:t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Data and provenance</w:t>
            </w:r>
          </w:p>
        </w:tc>
        <w:tc>
          <w:tcPr>
            <w:tcW w:type="dxa" w:w="453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Source, time, transformations, missingness, quality, and source-system changes.</w:t>
            </w:r>
          </w:p>
        </w:tc>
        <w:tc>
          <w:tcPr>
            <w:tcW w:type="dxa" w:w="403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EHR interface delayed 19 minutes after vendor patch.</w:t>
            </w:r>
          </w:p>
        </w:tc>
      </w:tr>
      <w:tr>
        <w:tc>
          <w:tcPr>
            <w:tcW w:type="dxa" w:w="2088"/>
            <w:vAlign w:val="centre"/>
            <w:shd w:fill="F5F0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Model and configuration</w:t>
            </w:r>
          </w:p>
        </w:tc>
        <w:tc>
          <w:tcPr>
            <w:tcW w:type="dxa" w:w="4536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Model/software version, thresholds, interfaces, prompts, retrieval, and knowledge sources.</w:t>
            </w:r>
          </w:p>
        </w:tc>
        <w:tc>
          <w:tcPr>
            <w:tcW w:type="dxa" w:w="4032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Version 4.2; threshold 0.31; prompt template 7.</w:t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AI output</w:t>
            </w:r>
          </w:p>
        </w:tc>
        <w:tc>
          <w:tcPr>
            <w:tcW w:type="dxa" w:w="453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Score, classification, recommendation, generated content, uncertainty, alert, or action.</w:t>
            </w:r>
          </w:p>
        </w:tc>
        <w:tc>
          <w:tcPr>
            <w:tcW w:type="dxa" w:w="403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High-risk alert generated after decision window.</w:t>
            </w:r>
          </w:p>
        </w:tc>
      </w:tr>
      <w:tr>
        <w:tc>
          <w:tcPr>
            <w:tcW w:type="dxa" w:w="2088"/>
            <w:vAlign w:val="centre"/>
            <w:shd w:fill="F5F0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Human action</w:t>
            </w:r>
          </w:p>
        </w:tc>
        <w:tc>
          <w:tcPr>
            <w:tcW w:type="dxa" w:w="4536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Recipient, information, accept/reject/modify/ignore/escalate, and rationale.</w:t>
            </w:r>
          </w:p>
        </w:tc>
        <w:tc>
          <w:tcPr>
            <w:tcW w:type="dxa" w:w="4032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Nurse used fallback protocol; alert documented as late.</w:t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Context</w:t>
            </w:r>
          </w:p>
        </w:tc>
        <w:tc>
          <w:tcPr>
            <w:tcW w:type="dxa" w:w="453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Workload, staffing, timing, patient condition, capacity, downtime, workarounds.</w:t>
            </w:r>
          </w:p>
        </w:tc>
        <w:tc>
          <w:tcPr>
            <w:tcW w:type="dxa" w:w="403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Peak demand and one bed unavailable.</w:t>
            </w:r>
          </w:p>
        </w:tc>
      </w:tr>
      <w:tr>
        <w:tc>
          <w:tcPr>
            <w:tcW w:type="dxa" w:w="2088"/>
            <w:vAlign w:val="centre"/>
            <w:shd w:fill="F5F0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Immediate response</w:t>
            </w:r>
          </w:p>
        </w:tc>
        <w:tc>
          <w:tcPr>
            <w:tcW w:type="dxa" w:w="4536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Patient, staff, data, and continuity protection; restriction, rollback, notification, fallback.</w:t>
            </w:r>
          </w:p>
        </w:tc>
        <w:tc>
          <w:tcPr>
            <w:tcW w:type="dxa" w:w="4032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Interface rolled back and silent mode activated.</w:t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Corrective and preventive action</w:t>
            </w:r>
          </w:p>
        </w:tc>
        <w:tc>
          <w:tcPr>
            <w:tcW w:type="dxa" w:w="453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Cause, owner, remediation, revalidation, monitoring, training, contract action, deadline.</w:t>
            </w:r>
          </w:p>
        </w:tc>
        <w:tc>
          <w:tcPr>
            <w:tcW w:type="dxa" w:w="403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Vendor fix, latency test, new daily threshold, 14-day review.</w:t>
            </w:r>
          </w:p>
        </w:tc>
      </w:tr>
      <w:tr>
        <w:tc>
          <w:tcPr>
            <w:tcW w:type="dxa" w:w="2088"/>
            <w:vAlign w:val="centre"/>
            <w:shd w:fill="F5F0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Closure authority</w:t>
            </w:r>
          </w:p>
        </w:tc>
        <w:tc>
          <w:tcPr>
            <w:tcW w:type="dxa" w:w="4536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Evidence of effectiveness, affected records addressed, residual uncertainty, signed closure.</w:t>
            </w:r>
          </w:p>
        </w:tc>
        <w:tc>
          <w:tcPr>
            <w:tcW w:type="dxa" w:w="4032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Closure conditional on two weeks of stable latency.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Decision and review record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2088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4464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Guidance</w:t>
            </w:r>
          </w:p>
        </w:tc>
        <w:tc>
          <w:tcPr>
            <w:tcW w:type="dxa" w:w="3456"/>
            <w:vAlign w:val="centre"/>
            <w:shd w:fill="303236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Record</w:t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Recommended status</w:t>
            </w:r>
          </w:p>
        </w:tc>
        <w:tc>
          <w:tcPr>
            <w:tcW w:type="dxa" w:w="446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Proceed / proceed with conditions / redesign / restrict / pause / replace / retire</w:t>
            </w:r>
          </w:p>
        </w:tc>
        <w:tc>
          <w:tcPr>
            <w:tcW w:type="dxa" w:w="34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Proceed with conditions</w:t>
            </w:r>
          </w:p>
        </w:tc>
      </w:tr>
      <w:tr>
        <w:tc>
          <w:tcPr>
            <w:tcW w:type="dxa" w:w="2088"/>
            <w:vAlign w:val="centre"/>
            <w:shd w:fill="F5F0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Mandatory safeguards</w:t>
            </w:r>
          </w:p>
        </w:tc>
        <w:tc>
          <w:tcPr>
            <w:tcW w:type="dxa" w:w="4464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Safety, lawful data use, privacy/security, equity, human oversight, monitoring, ability to stop</w:t>
            </w:r>
          </w:p>
        </w:tc>
        <w:tc>
          <w:tcPr>
            <w:tcW w:type="dxa" w:w="3456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Passed with two conditions</w:t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Material unresolved issues</w:t>
            </w:r>
          </w:p>
        </w:tc>
        <w:tc>
          <w:tcPr>
            <w:tcW w:type="dxa" w:w="446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Record gaps that could change the decision</w:t>
            </w:r>
          </w:p>
        </w:tc>
        <w:tc>
          <w:tcPr>
            <w:tcW w:type="dxa" w:w="34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Local subgroup sample remains small</w:t>
            </w:r>
          </w:p>
        </w:tc>
      </w:tr>
      <w:tr>
        <w:tc>
          <w:tcPr>
            <w:tcW w:type="dxa" w:w="2088"/>
            <w:vAlign w:val="centre"/>
            <w:shd w:fill="F5F0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Conditions, owners, and due dates</w:t>
            </w:r>
          </w:p>
        </w:tc>
        <w:tc>
          <w:tcPr>
            <w:tcW w:type="dxa" w:w="4464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Link every condition to an accountable owner and verification date</w:t>
            </w:r>
          </w:p>
        </w:tc>
        <w:tc>
          <w:tcPr>
            <w:tcW w:type="dxa" w:w="3456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Clinical safety lead—complete 90-day review</w:t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Decision authority and date</w:t>
            </w:r>
          </w:p>
        </w:tc>
        <w:tc>
          <w:tcPr>
            <w:tcW w:type="dxa" w:w="446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Named committee or executive authority</w:t>
            </w:r>
          </w:p>
        </w:tc>
        <w:tc>
          <w:tcPr>
            <w:tcW w:type="dxa" w:w="34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AI Governance Committee; 30 July 2026</w:t>
            </w:r>
          </w:p>
        </w:tc>
      </w:tr>
      <w:tr>
        <w:tc>
          <w:tcPr>
            <w:tcW w:type="dxa" w:w="2088"/>
            <w:vAlign w:val="centre"/>
            <w:shd w:fill="F5F0E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Next review or trigger event</w:t>
            </w:r>
          </w:p>
        </w:tc>
        <w:tc>
          <w:tcPr>
            <w:tcW w:type="dxa" w:w="4464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Date and event-triggered review conditions</w:t>
            </w:r>
          </w:p>
        </w:tc>
        <w:tc>
          <w:tcPr>
            <w:tcW w:type="dxa" w:w="3456"/>
            <w:vAlign w:val="centre"/>
            <w:shd w:fill="F5F0E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Monthly during pilot; immediate review after material update</w:t>
            </w:r>
          </w:p>
        </w:tc>
      </w:tr>
    </w:tbl>
    <w:p>
      <w:pPr>
        <w:spacing w:after="0"/>
      </w:pPr>
    </w:p>
    <w:sectPr>
      <w:footerReference w:type="default" r:id="rId9"/>
      <w:head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877567"/>
        <w:sz w:val="16"/>
      </w:rPr>
      <w:t xml:space="preserve">Muthana Zouri · Carmen Marinela Cumpăt   |  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B2230"/>
        <w:sz w:val="16"/>
      </w:rPr>
      <w:t>DIGITAL RESOURCE COMPANION ·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re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6B223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03236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6B22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3032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0323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0323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30323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303236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877567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6B223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30323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3032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30323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30323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30323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877567" w:themeColor="accent1"/>
      </w:pBdr>
      <w:spacing w:before="200" w:after="280"/>
      <w:ind w:left="936" w:right="936"/>
    </w:pPr>
    <w:rPr>
      <w:b/>
      <w:bCs/>
      <w:i/>
      <w:iCs/>
      <w:color w:val="3032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303236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303236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303236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303236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77567" w:themeColor="accent1"/>
        <w:bottom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77567" w:themeColor="accent1"/>
          <w:left w:val="nil"/>
          <w:bottom w:val="single" w:sz="8" w:space="0" w:color="877567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77567" w:themeColor="accent1"/>
          <w:left w:val="nil"/>
          <w:bottom w:val="single" w:sz="8" w:space="0" w:color="877567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7756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band1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  <w:insideH w:val="single" w:sz="8" w:space="0" w:color="877567" w:themeColor="accent1"/>
        <w:insideV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18" w:space="0" w:color="877567" w:themeColor="accent1"/>
          <w:right w:val="single" w:sz="8" w:space="0" w:color="877567" w:themeColor="accent1"/>
          <w:insideH w:val="nil"/>
          <w:insideV w:val="single" w:sz="8" w:space="0" w:color="877567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H w:val="nil"/>
          <w:insideV w:val="single" w:sz="8" w:space="0" w:color="877567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band1Vert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V w:val="single" w:sz="8" w:space="0" w:color="877567" w:themeColor="accent1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V w:val="single" w:sz="8" w:space="0" w:color="877567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87756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77567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77567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bottom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77567" w:themeColor="accen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77567" w:themeColor="accent1"/>
          <w:bottom w:val="single" w:sz="8" w:space="0" w:color="87756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77567" w:themeColor="accent1"/>
          <w:bottom w:val="single" w:sz="8" w:space="0" w:color="877567" w:themeColor="accent1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77567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77567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77567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77567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  <w:insideH w:val="single" w:sz="8" w:space="0" w:color="877567" w:themeColor="accent1"/>
        <w:insideV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77567" w:themeColor="accent1"/>
          <w:insideV w:val="single" w:sz="6" w:space="0" w:color="877567" w:themeColor="accent1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77567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77567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77567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77567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77567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7567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877567" w:themeColor="accent1"/>
        <w:bottom w:val="single" w:sz="4" w:space="0" w:color="877567" w:themeColor="accent1"/>
        <w:right w:val="single" w:sz="4" w:space="0" w:color="877567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C4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2730A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877567"/>
      </w:tcPr>
    </w:tblStylePr>
    <w:tblStylePr w:type="lastCol">
      <w:rPr>
        <w:color w:val="FFFFFF"/>
      </w:rPr>
      <w:tblPr/>
      <w:tcPr>
        <w:shd w:val="clear" w:color="auto" w:fill="87756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032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3032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0323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0323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30323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303236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30323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3032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30323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30323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30323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3032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303236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303236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303236"/>
      </a:dk2>
      <a:lt2>
        <a:srgbClr val="F5F0E7"/>
      </a:lt2>
      <a:accent1>
        <a:srgbClr val="6B2230"/>
      </a:accent1>
      <a:accent2>
        <a:srgbClr val="BDA477"/>
      </a:accent2>
      <a:accent3>
        <a:srgbClr val="877567"/>
      </a:accent3>
      <a:accent4>
        <a:srgbClr val="303236"/>
      </a:accent4>
      <a:accent5>
        <a:srgbClr val="A36570"/>
      </a:accent5>
      <a:accent6>
        <a:srgbClr val="DDD0B7"/>
      </a:accent6>
      <a:hlink>
        <a:srgbClr val="6B2230"/>
      </a:hlink>
      <a:folHlink>
        <a:srgbClr val="877567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>
  <Applicat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Digital Resource Companion</dc:title>
  <dc:subject>Healthcare management, economics, evidence, and lifecycle governance</dc:subject>
  <dc:creator>Muthana Zouri; Carmen Marinela Cumpăt</dc:creator>
  <cp:lastModifiedBy/>
  <cp:revision>1</cp:revision>
</cp:coreProperties>
</file>