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IV — Governance, Evidence, and Lifecycle Decision-Making</w:t>
      </w:r>
    </w:p>
    <w:p>
      <w:pPr>
        <w:pStyle w:val="Heading1"/>
      </w:pPr>
      <w:r>
        <w:t>AIHE-D04 — Incident Classification and Reconstruction</w:t>
      </w:r>
    </w:p>
    <w:p>
      <w:pPr>
        <w:spacing w:after="80"/>
      </w:pPr>
      <w:r>
        <w:rPr>
          <w:color w:val="877567"/>
          <w:sz w:val="20"/>
        </w:rPr>
        <w:t>Chapter 12: Decision Architecture and Lifecycle Governance</w:t>
      </w:r>
    </w:p>
    <w:p>
      <w:r>
        <w:t>Reconstruct technical, clinical, workflow, privacy, cybersecurity, equity, communication, and economic incidents consistently.</w:t>
      </w:r>
    </w:p>
    <w:p>
      <w:r>
        <w:rPr>
          <w:rFonts w:ascii="Aptos" w:hAnsi="Aptos"/>
          <w:sz w:val="17"/>
        </w:rPr>
        <w:t>Resource: AIHE-D04  |  V1.0  |  Aligned chapters: 5, 10, 11,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75"/>
        <w:gridCol w:w="6349"/>
        <w:gridCol w:w="4444"/>
      </w:tblGrid>
      <w:tr>
        <w:trPr>
          <w:tblHeader/>
          <w:cantSplit/>
        </w:trPr>
        <w:tc>
          <w:tcPr>
            <w:tcW w:type="dxa" w:w="3175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49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Guidance</w:t>
            </w:r>
          </w:p>
        </w:tc>
        <w:tc>
          <w:tcPr>
            <w:tcW w:type="dxa" w:w="444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Institutional response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Event, detection, and category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Describe the event or pattern, who detected it, and how it was classified.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Data and provenance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Preserve available data, source, timestamp, transformation, missingness, quality state, and recent source changes.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System and configuration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model, software, threshold, interface, prompt, template, retrieval, knowledge source, and hosting versions.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AI output and uncertainty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Preserve score, classification, recommendation, generated content, alert, action, explanation, and uncertainty.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Human action and decision context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recipient, information available, accept, reject, modify, ignore, escalation, rationale, workload, staffing, patient condition, and capacity.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Immediate response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patient and service protection, containment, notification, restriction, pause, rollback, and fallback.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Causal analysis and residual uncertainty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Distinguish confirmed, contributing, and unresolved technical, clinical, workflow, organizational, and governance causes.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Corrective and preventive action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action, owner, deadline, revalidation, communication, vendor or contract response, monitoring change, and effectiveness check.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Closure and learning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closure authority, evidence, affected records and people, residual risk, recurrence prevention, and portfolio implications.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IV — Governance, Evidence, and Lifecycle Decision-Making</w:t>
      </w:r>
    </w:p>
    <w:p>
      <w:pPr>
        <w:pStyle w:val="Heading1"/>
      </w:pPr>
      <w:r>
        <w:t>AIHE-D04 — Incident Classification and Reconstruction</w:t>
      </w:r>
    </w:p>
    <w:p>
      <w:pPr>
        <w:spacing w:after="80"/>
      </w:pPr>
      <w:r>
        <w:rPr>
          <w:color w:val="877567"/>
          <w:sz w:val="20"/>
        </w:rPr>
        <w:t>Chapter 12: Decision Architecture and Lifecycle Governance</w:t>
      </w:r>
    </w:p>
    <w:p>
      <w:r>
        <w:t>Reconstruct technical, clinical, workflow, privacy, cybersecurity, equity, communication, and economic incidents consistently.</w:t>
      </w:r>
    </w:p>
    <w:p>
      <w:r>
        <w:rPr>
          <w:rFonts w:ascii="Aptos" w:hAnsi="Aptos"/>
          <w:sz w:val="17"/>
        </w:rPr>
        <w:t>Resource: AIHE-D04  |  V1.0  |  Aligned chapters: 5, 10, 11,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75"/>
        <w:gridCol w:w="6349"/>
        <w:gridCol w:w="4444"/>
      </w:tblGrid>
      <w:tr>
        <w:trPr>
          <w:tblHeader/>
          <w:cantSplit/>
        </w:trPr>
        <w:tc>
          <w:tcPr>
            <w:tcW w:type="dxa" w:w="3175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49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Guidance</w:t>
            </w:r>
          </w:p>
        </w:tc>
        <w:tc>
          <w:tcPr>
            <w:tcW w:type="dxa" w:w="444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Institutional response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Event, detection, and category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Describe the event or pattern, who detected it, and how it was classified.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Data and provenance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Preserve available data, source, timestamp, transformation, missingness, quality state, and recent source changes.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System and configuration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model, software, threshold, interface, prompt, template, retrieval, knowledge source, and hosting versions.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AI output and uncertainty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Preserve score, classification, recommendation, generated content, alert, action, explanation, and uncertainty.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Human action and decision context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recipient, information available, accept, reject, modify, ignore, escalation, rationale, workload, staffing, patient condition, and capacity.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Immediate response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patient and service protection, containment, notification, restriction, pause, rollback, and fallback.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Causal analysis and residual uncertainty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Distinguish confirmed, contributing, and unresolved technical, clinical, workflow, organizational, and governance causes.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Corrective and preventive action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action, owner, deadline, revalidation, communication, vendor or contract response, monitoring change, and effectiveness check.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Closure and learning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closure authority, evidence, affected records and people, residual risk, recurrence prevention, and portfolio implications.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