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303236"/>
        </w:rPr>
        <w:t>AIHE-EX12 — Incident Corrective Action and Reconstruction Log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303236"/>
        </w:rPr>
        <w:t>Blank institutional template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5: Quality Management, Accreditation, and Organizational Learning; Chapter 10: Governance, Accountability, and Institutional Risk;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V1.0 | aligned to the twelve-chapter reference edition and Resource Sets A–D</w:t>
            </w:r>
          </w:p>
        </w:tc>
      </w:tr>
    </w:tbl>
    <w:p>
      <w:r>
        <w:rPr>
          <w:b/>
        </w:rPr>
        <w:t xml:space="preserve">Purpose. </w:t>
      </w:r>
      <w:r>
        <w:t>Classify and reconstruct technical, clinical, workflow, privacy, cybersecurity, equity, and communication incidents.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A material incident is not closed merely because service resumes. Closure requires reconstruction, accountable corrective action, evidence of effectiveness, and explicit recording of residual uncertainty.</w:t>
      </w:r>
    </w:p>
    <w:p>
      <w:pPr>
        <w:pStyle w:val="Heading1"/>
        <w:keepNext/>
      </w:pPr>
      <w:r>
        <w:t>Incident reconstruction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53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required content</w:t>
            </w:r>
          </w:p>
        </w:tc>
        <w:tc>
          <w:tcPr>
            <w:tcW w:type="dxa" w:w="403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Incident-specific 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Categories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Affected scope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and provenance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 and configuration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output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action and rationale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 and operational context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Immediate response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Cause and contributing factors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Corrective and preventive action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Closure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Incident-category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72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51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Involvement</w:t>
            </w:r>
          </w:p>
        </w:tc>
        <w:tc>
          <w:tcPr>
            <w:tcW w:type="dxa" w:w="396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Finding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and action</w:t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Technical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</w:t>
            </w:r>
          </w:p>
        </w:tc>
        <w:tc>
          <w:tcPr>
            <w:tcW w:type="dxa" w:w="15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</w:t>
            </w:r>
          </w:p>
        </w:tc>
        <w:tc>
          <w:tcPr>
            <w:tcW w:type="dxa" w:w="15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Cybersecurity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</w:t>
            </w:r>
          </w:p>
        </w:tc>
        <w:tc>
          <w:tcPr>
            <w:tcW w:type="dxa" w:w="15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Communication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23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6B223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