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re"/>
      </w:pPr>
      <w:r>
        <w:rPr>
          <w:rFonts w:ascii="Arial" w:hAnsi="Arial"/>
          <w:color w:val="303236"/>
        </w:rPr>
        <w:t>AIHE-EX11 — Material Change and Renewal Review</w:t>
      </w:r>
    </w:p>
    <w:p>
      <w:r>
        <w:rPr>
          <w:rFonts w:ascii="Arial" w:hAnsi="Arial"/>
          <w:color w:val="595959"/>
          <w:sz w:val="17"/>
        </w:rPr>
        <w:t>Current digital location: Resource Set D — Procurement, Implementation, and Lifecycle Governance. Stable resource ID retained for continuity across companion editions.</w:t>
      </w:r>
    </w:p>
    <w:p>
      <w:pPr>
        <w:jc w:val="centre"/>
      </w:pPr>
      <w:r>
        <w:rPr>
          <w:b/>
          <w:color w:val="303236"/>
        </w:rPr>
        <w:t>Synthetic worked example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Current digital location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Resource Set D — Procurement, Implementation, and Lifecycle Governance</w:t>
            </w:r>
          </w:p>
        </w:tc>
      </w:tr>
      <w:tr>
        <w:tc>
          <w:tcPr>
            <w:tcW w:type="dxa" w:w="525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Related book chapters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Chapter 9: Problem-First Procurement and Vendor Governance; Chapter 12: Decision Architecture and Lifecycle Governance</w:t>
            </w:r>
          </w:p>
        </w:tc>
      </w:tr>
      <w:tr>
        <w:tc>
          <w:tcPr>
            <w:tcW w:type="dxa" w:w="525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Workflow step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08: 08_Monitoring_Lifecycle</w:t>
            </w:r>
          </w:p>
        </w:tc>
      </w:tr>
      <w:tr>
        <w:tc>
          <w:tcPr>
            <w:tcW w:type="dxa" w:w="525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Version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>
              <w:t>V1.0 | aligned to the twelve-chapter reference edition and Resource Sets A–D</w:t>
            </w:r>
          </w:p>
        </w:tc>
      </w:tr>
    </w:tbl>
    <w:p>
      <w:r>
        <w:rPr>
          <w:b/>
        </w:rPr>
        <w:t xml:space="preserve">Purpose. </w:t>
      </w:r>
      <w:r>
        <w:t>Assess model, data, interface, workflow, vendor, contract, policy, performance, risk, and annual renewal changes.</w:t>
      </w:r>
    </w:p>
    <w:p>
      <w:r>
        <w:rPr>
          <w:b/>
        </w:rPr>
        <w:t xml:space="preserve">Use note. </w:t>
      </w:r>
      <w:r>
        <w:t>Use the resource as a versioned institutional record. Adapt it to local law, policy, clinical practice, information security, procurement, and health-technology-assessment requirements. Do not enter identifiable patient data or confidential credentials into public copies.</w:t>
      </w:r>
    </w:p>
    <w:p>
      <w:r>
        <w:rPr>
          <w:b/>
        </w:rPr>
        <w:t xml:space="preserve">Worked-example status. </w:t>
      </w:r>
      <w:r>
        <w:t>All names, organizations, figures, findings, and decisions are fictional and are included only to demonstrate completion logic.</w:t>
      </w:r>
    </w:p>
    <w:p>
      <w:pPr>
        <w:pStyle w:val="Heading1"/>
        <w:keepNext/>
      </w:pPr>
      <w:r>
        <w:t>How to use this resource</w:t>
      </w:r>
    </w:p>
    <w:p>
      <w:r>
        <w:t>A material change is any change that may alter intended use, evidence applicability, performance, risk, workflow, economics, obligations, or the ability to monitor and stop. Renewal is an evidence-based lifecycle decision, not an automatic contract event.</w:t>
      </w:r>
    </w:p>
    <w:p>
      <w:pPr>
        <w:pStyle w:val="Heading1"/>
        <w:keepNext/>
      </w:pPr>
      <w:r>
        <w:t>Material-change review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2102"/>
        <w:gridCol w:w="2102"/>
        <w:gridCol w:w="2102"/>
        <w:gridCol w:w="2102"/>
        <w:gridCol w:w="2102"/>
      </w:tblGrid>
      <w:tr>
        <w:trPr>
          <w:tblHeader w:val="true"/>
        </w:trPr>
        <w:tc>
          <w:tcPr>
            <w:tcW w:type="dxa" w:w="201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Change domain</w:t>
            </w:r>
          </w:p>
        </w:tc>
        <w:tc>
          <w:tcPr>
            <w:tcW w:type="dxa" w:w="273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Finding or description</w:t>
            </w:r>
          </w:p>
        </w:tc>
        <w:tc>
          <w:tcPr>
            <w:tcW w:type="dxa" w:w="3744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Required evidence and assessment</w:t>
            </w:r>
          </w:p>
        </w:tc>
        <w:tc>
          <w:tcPr>
            <w:tcW w:type="dxa" w:w="165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Owner / due</w:t>
            </w:r>
          </w:p>
        </w:tc>
        <w:tc>
          <w:tcPr>
            <w:tcW w:type="dxa" w:w="1224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Decision</w:t>
            </w:r>
          </w:p>
        </w:tc>
      </w:tr>
      <w:tr>
        <w:tc>
          <w:tcPr>
            <w:tcW w:type="dxa" w:w="2016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Intended or excluded use</w:t>
            </w:r>
          </w:p>
        </w:tc>
        <w:tc>
          <w:tcPr>
            <w:tcW w:type="dxa" w:w="273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Vendor proposes automated follow-up suggestions.</w:t>
            </w:r>
          </w:p>
        </w:tc>
        <w:tc>
          <w:tcPr>
            <w:tcW w:type="dxa" w:w="374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New intended-use statement, clinical/economic analysis, human oversight, downstream-utilization plan.</w:t>
            </w:r>
          </w:p>
        </w:tc>
        <w:tc>
          <w:tcPr>
            <w:tcW w:type="dxa" w:w="16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Clinical sponsor / 30 days</w:t>
            </w:r>
          </w:p>
        </w:tc>
        <w:tc>
          <w:tcPr>
            <w:tcW w:type="dxa" w:w="122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Do not activate.</w:t>
            </w:r>
          </w:p>
        </w:tc>
      </w:tr>
      <w:tr>
        <w:tc>
          <w:tcPr>
            <w:tcW w:type="dxa" w:w="2016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Population, site, or users</w:t>
            </w:r>
          </w:p>
        </w:tc>
        <w:tc>
          <w:tcPr>
            <w:tcW w:type="dxa" w:w="273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Expansion from two clinics to all specialties.</w:t>
            </w:r>
          </w:p>
        </w:tc>
        <w:tc>
          <w:tcPr>
            <w:tcW w:type="dxa" w:w="374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Transportability, workflow, training, capacity, subgroup, and budget assessment.</w:t>
            </w:r>
          </w:p>
        </w:tc>
        <w:tc>
          <w:tcPr>
            <w:tcW w:type="dxa" w:w="165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Program lead / 45 days</w:t>
            </w:r>
          </w:p>
        </w:tc>
        <w:tc>
          <w:tcPr>
            <w:tcW w:type="dxa" w:w="122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Pilot selected sites.</w:t>
            </w:r>
          </w:p>
        </w:tc>
      </w:tr>
      <w:tr>
        <w:tc>
          <w:tcPr>
            <w:tcW w:type="dxa" w:w="2016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Model, version, or threshold</w:t>
            </w:r>
          </w:p>
        </w:tc>
        <w:tc>
          <w:tcPr>
            <w:tcW w:type="dxa" w:w="273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Version 4.2 replaces 4.1.</w:t>
            </w:r>
          </w:p>
        </w:tc>
        <w:tc>
          <w:tcPr>
            <w:tcW w:type="dxa" w:w="374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Release evidence, local regression tests, calibration, safety, rollback.</w:t>
            </w:r>
          </w:p>
        </w:tc>
        <w:tc>
          <w:tcPr>
            <w:tcW w:type="dxa" w:w="16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Validation lead / 14 days</w:t>
            </w:r>
          </w:p>
        </w:tc>
        <w:tc>
          <w:tcPr>
            <w:tcW w:type="dxa" w:w="122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Conditional acceptance.</w:t>
            </w:r>
          </w:p>
        </w:tc>
      </w:tr>
      <w:tr>
        <w:tc>
          <w:tcPr>
            <w:tcW w:type="dxa" w:w="2016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Training, retrieval, or reference data</w:t>
            </w:r>
          </w:p>
        </w:tc>
        <w:tc>
          <w:tcPr>
            <w:tcW w:type="dxa" w:w="273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Knowledge base updated.</w:t>
            </w:r>
          </w:p>
        </w:tc>
        <w:tc>
          <w:tcPr>
            <w:tcW w:type="dxa" w:w="374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Provenance, scope, update date, conflict testing, red-team results.</w:t>
            </w:r>
          </w:p>
        </w:tc>
        <w:tc>
          <w:tcPr>
            <w:tcW w:type="dxa" w:w="165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Content owner / 14 days</w:t>
            </w:r>
          </w:p>
        </w:tc>
        <w:tc>
          <w:tcPr>
            <w:tcW w:type="dxa" w:w="122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Approve after testing.</w:t>
            </w:r>
          </w:p>
        </w:tc>
      </w:tr>
      <w:tr>
        <w:tc>
          <w:tcPr>
            <w:tcW w:type="dxa" w:w="2016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Input, interface, coding, terminology</w:t>
            </w:r>
          </w:p>
        </w:tc>
        <w:tc>
          <w:tcPr>
            <w:tcW w:type="dxa" w:w="273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FHIR interface profile changes.</w:t>
            </w:r>
          </w:p>
        </w:tc>
        <w:tc>
          <w:tcPr>
            <w:tcW w:type="dxa" w:w="374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Mapping and conformance tests, data-quality and latency review.</w:t>
            </w:r>
          </w:p>
        </w:tc>
        <w:tc>
          <w:tcPr>
            <w:tcW w:type="dxa" w:w="16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Data steward / 14 days</w:t>
            </w:r>
          </w:p>
        </w:tc>
        <w:tc>
          <w:tcPr>
            <w:tcW w:type="dxa" w:w="122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Remediate and repeat.</w:t>
            </w:r>
          </w:p>
        </w:tc>
      </w:tr>
      <w:tr>
        <w:tc>
          <w:tcPr>
            <w:tcW w:type="dxa" w:w="2016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Workflow, oversight, or capacity</w:t>
            </w:r>
          </w:p>
        </w:tc>
        <w:tc>
          <w:tcPr>
            <w:tcW w:type="dxa" w:w="273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Review moves from physician to nurse.</w:t>
            </w:r>
          </w:p>
        </w:tc>
        <w:tc>
          <w:tcPr>
            <w:tcW w:type="dxa" w:w="374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Role, competency, authority, burden, escalation, safety, equity.</w:t>
            </w:r>
          </w:p>
        </w:tc>
        <w:tc>
          <w:tcPr>
            <w:tcW w:type="dxa" w:w="165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Service lead / 30 days</w:t>
            </w:r>
          </w:p>
        </w:tc>
        <w:tc>
          <w:tcPr>
            <w:tcW w:type="dxa" w:w="122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Redesign.</w:t>
            </w:r>
          </w:p>
        </w:tc>
      </w:tr>
      <w:tr>
        <w:tc>
          <w:tcPr>
            <w:tcW w:type="dxa" w:w="2016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Vendor, subcontractor, hosting, or security</w:t>
            </w:r>
          </w:p>
        </w:tc>
        <w:tc>
          <w:tcPr>
            <w:tcW w:type="dxa" w:w="273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New model hosting subcontractor.</w:t>
            </w:r>
          </w:p>
        </w:tc>
        <w:tc>
          <w:tcPr>
            <w:tcW w:type="dxa" w:w="374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Security, location, data flow, contract, incident, continuity review.</w:t>
            </w:r>
          </w:p>
        </w:tc>
        <w:tc>
          <w:tcPr>
            <w:tcW w:type="dxa" w:w="16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Security/contract / 30 days</w:t>
            </w:r>
          </w:p>
        </w:tc>
        <w:tc>
          <w:tcPr>
            <w:tcW w:type="dxa" w:w="122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No transfer before approval.</w:t>
            </w:r>
          </w:p>
        </w:tc>
      </w:tr>
      <w:tr>
        <w:tc>
          <w:tcPr>
            <w:tcW w:type="dxa" w:w="2016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Pricing, support, or service level</w:t>
            </w:r>
          </w:p>
        </w:tc>
        <w:tc>
          <w:tcPr>
            <w:tcW w:type="dxa" w:w="273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Variable fee increases 8%.</w:t>
            </w:r>
          </w:p>
        </w:tc>
        <w:tc>
          <w:tcPr>
            <w:tcW w:type="dxa" w:w="374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Volume scenarios, cap, benefit realization, alternatives, negotiation.</w:t>
            </w:r>
          </w:p>
        </w:tc>
        <w:tc>
          <w:tcPr>
            <w:tcW w:type="dxa" w:w="165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Procurement / renewal</w:t>
            </w:r>
          </w:p>
        </w:tc>
        <w:tc>
          <w:tcPr>
            <w:tcW w:type="dxa" w:w="122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Renegotiate.</w:t>
            </w:r>
          </w:p>
        </w:tc>
      </w:tr>
      <w:tr>
        <w:tc>
          <w:tcPr>
            <w:tcW w:type="dxa" w:w="2016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Law, standard, or policy</w:t>
            </w:r>
          </w:p>
        </w:tc>
        <w:tc>
          <w:tcPr>
            <w:tcW w:type="dxa" w:w="273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New local AI policy takes effect.</w:t>
            </w:r>
          </w:p>
        </w:tc>
        <w:tc>
          <w:tcPr>
            <w:tcW w:type="dxa" w:w="374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Gap analysis, impact, remediation, evidence and approval.</w:t>
            </w:r>
          </w:p>
        </w:tc>
        <w:tc>
          <w:tcPr>
            <w:tcW w:type="dxa" w:w="16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Governance / 60 days</w:t>
            </w:r>
          </w:p>
        </w:tc>
        <w:tc>
          <w:tcPr>
            <w:tcW w:type="dxa" w:w="122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Conditional continuation.</w:t>
            </w:r>
          </w:p>
        </w:tc>
      </w:tr>
      <w:tr>
        <w:tc>
          <w:tcPr>
            <w:tcW w:type="dxa" w:w="2016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Observed performance, equity, safety, or value</w:t>
            </w:r>
          </w:p>
        </w:tc>
        <w:tc>
          <w:tcPr>
            <w:tcW w:type="dxa" w:w="273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Correction time exceeds expected value.</w:t>
            </w:r>
          </w:p>
        </w:tc>
        <w:tc>
          <w:tcPr>
            <w:tcW w:type="dxa" w:w="374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Root-cause analysis, threshold, workflow, cost, benefit, restriction options.</w:t>
            </w:r>
          </w:p>
        </w:tc>
        <w:tc>
          <w:tcPr>
            <w:tcW w:type="dxa" w:w="165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Service/finance / 30 days</w:t>
            </w:r>
          </w:p>
        </w:tc>
        <w:tc>
          <w:tcPr>
            <w:tcW w:type="dxa" w:w="122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Restrict pending action.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Annual renewal review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5256"/>
        <w:gridCol w:w="5256"/>
      </w:tblGrid>
      <w:tr>
        <w:trPr>
          <w:tblHeader w:val="true"/>
        </w:trPr>
        <w:tc>
          <w:tcPr>
            <w:tcW w:type="dxa" w:w="3240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Review element</w:t>
            </w:r>
          </w:p>
        </w:tc>
        <w:tc>
          <w:tcPr>
            <w:tcW w:type="dxa" w:w="7560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Required record</w:t>
            </w:r>
          </w:p>
        </w:tc>
      </w:tr>
      <w:tr>
        <w:tc>
          <w:tcPr>
            <w:tcW w:type="dxa" w:w="324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Current scope</w:t>
            </w:r>
          </w:p>
        </w:tc>
        <w:tc>
          <w:tcPr>
            <w:tcW w:type="dxa" w:w="756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Intended use, excluded uses, version, population, sites, users, and accountable owner.</w:t>
            </w:r>
          </w:p>
        </w:tc>
      </w:tr>
      <w:tr>
        <w:tc>
          <w:tcPr>
            <w:tcW w:type="dxa" w:w="3240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Accumulated evidence</w:t>
            </w:r>
          </w:p>
        </w:tc>
        <w:tc>
          <w:tcPr>
            <w:tcW w:type="dxa" w:w="756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External updates, local validation, real-world performance, incidents, human factors, subgroups.</w:t>
            </w:r>
          </w:p>
        </w:tc>
      </w:tr>
      <w:tr>
        <w:tc>
          <w:tcPr>
            <w:tcW w:type="dxa" w:w="324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Realized value and burden</w:t>
            </w:r>
          </w:p>
        </w:tc>
        <w:tc>
          <w:tcPr>
            <w:tcW w:type="dxa" w:w="756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Benefits, workload, lifecycle cost, budget, downstream utilization, public value.</w:t>
            </w:r>
          </w:p>
        </w:tc>
      </w:tr>
      <w:tr>
        <w:tc>
          <w:tcPr>
            <w:tcW w:type="dxa" w:w="3240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Residual risk</w:t>
            </w:r>
          </w:p>
        </w:tc>
        <w:tc>
          <w:tcPr>
            <w:tcW w:type="dxa" w:w="756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Open incidents, uncertainty, privacy, cybersecurity, equity, communication, continuity.</w:t>
            </w:r>
          </w:p>
        </w:tc>
      </w:tr>
      <w:tr>
        <w:tc>
          <w:tcPr>
            <w:tcW w:type="dxa" w:w="324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Regulatory and standards alignment</w:t>
            </w:r>
          </w:p>
        </w:tc>
        <w:tc>
          <w:tcPr>
            <w:tcW w:type="dxa" w:w="756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Applicable law, policy, standards, management-system and assurance changes.</w:t>
            </w:r>
          </w:p>
        </w:tc>
      </w:tr>
      <w:tr>
        <w:tc>
          <w:tcPr>
            <w:tcW w:type="dxa" w:w="3240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Vendor and contract</w:t>
            </w:r>
          </w:p>
        </w:tc>
        <w:tc>
          <w:tcPr>
            <w:tcW w:type="dxa" w:w="756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Service levels, updates, audit, support, pricing, subcontractors, data rights, exit.</w:t>
            </w:r>
          </w:p>
        </w:tc>
      </w:tr>
      <w:tr>
        <w:tc>
          <w:tcPr>
            <w:tcW w:type="dxa" w:w="324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Monitoring and fallback</w:t>
            </w:r>
          </w:p>
        </w:tc>
        <w:tc>
          <w:tcPr>
            <w:tcW w:type="dxa" w:w="756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Data access, metrics, thresholds, owners, fallback, pause, rollback, de-adoption readiness.</w:t>
            </w:r>
          </w:p>
        </w:tc>
      </w:tr>
      <w:tr>
        <w:tc>
          <w:tcPr>
            <w:tcW w:type="dxa" w:w="3240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Alternatives and opportunity cost</w:t>
            </w:r>
          </w:p>
        </w:tc>
        <w:tc>
          <w:tcPr>
            <w:tcW w:type="dxa" w:w="756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Current comparators, internal build, other vendor, process redesign, staffing, retirement.</w:t>
            </w:r>
          </w:p>
        </w:tc>
      </w:tr>
      <w:tr>
        <w:tc>
          <w:tcPr>
            <w:tcW w:type="dxa" w:w="324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Renewal decision</w:t>
            </w:r>
          </w:p>
        </w:tc>
        <w:tc>
          <w:tcPr>
            <w:tcW w:type="dxa" w:w="756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Renew, renew with conditions, renegotiate, restrict, replace, or retire.</w:t>
            </w:r>
          </w:p>
        </w:tc>
      </w:tr>
      <w:tr>
        <w:tc>
          <w:tcPr>
            <w:tcW w:type="dxa" w:w="3240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Authority and next review</w:t>
            </w:r>
          </w:p>
        </w:tc>
        <w:tc>
          <w:tcPr>
            <w:tcW w:type="dxa" w:w="756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Decision authority, dissent, conditions, owners, dates, trigger events.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Decision and review record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rPr>
          <w:tblHeader w:val="true"/>
        </w:trPr>
        <w:tc>
          <w:tcPr>
            <w:tcW w:type="dxa" w:w="2088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4464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Guidance</w:t>
            </w:r>
          </w:p>
        </w:tc>
        <w:tc>
          <w:tcPr>
            <w:tcW w:type="dxa" w:w="345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Record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Recommended status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Proceed / proceed with conditions / redesign / restrict / pause / replace / retire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Proceed with conditions</w:t>
            </w:r>
          </w:p>
        </w:tc>
      </w:tr>
      <w:tr>
        <w:tc>
          <w:tcPr>
            <w:tcW w:type="dxa" w:w="2088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Mandatory safeguards</w:t>
            </w:r>
          </w:p>
        </w:tc>
        <w:tc>
          <w:tcPr>
            <w:tcW w:type="dxa" w:w="446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Safety, lawful data use, privacy/security, equity, human oversight, monitoring, ability to stop</w:t>
            </w:r>
          </w:p>
        </w:tc>
        <w:tc>
          <w:tcPr>
            <w:tcW w:type="dxa" w:w="345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Passed with two conditions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Material unresolved issues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Record gaps that could change the decision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Local subgroup sample remains small</w:t>
            </w:r>
          </w:p>
        </w:tc>
      </w:tr>
      <w:tr>
        <w:tc>
          <w:tcPr>
            <w:tcW w:type="dxa" w:w="2088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Conditions, owners, and due dates</w:t>
            </w:r>
          </w:p>
        </w:tc>
        <w:tc>
          <w:tcPr>
            <w:tcW w:type="dxa" w:w="446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Link every condition to an accountable owner and verification date</w:t>
            </w:r>
          </w:p>
        </w:tc>
        <w:tc>
          <w:tcPr>
            <w:tcW w:type="dxa" w:w="345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Clinical safety lead—complete 90-day review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Decision authority and date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Named committee or executive authority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AI Governance Committee; 30 July 2026</w:t>
            </w:r>
          </w:p>
        </w:tc>
      </w:tr>
      <w:tr>
        <w:tc>
          <w:tcPr>
            <w:tcW w:type="dxa" w:w="2088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Next review or trigger event</w:t>
            </w:r>
          </w:p>
        </w:tc>
        <w:tc>
          <w:tcPr>
            <w:tcW w:type="dxa" w:w="446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Date and event-triggered review conditions</w:t>
            </w:r>
          </w:p>
        </w:tc>
        <w:tc>
          <w:tcPr>
            <w:tcW w:type="dxa" w:w="345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Monthly during pilot; immediate review after material update</w:t>
            </w:r>
          </w:p>
        </w:tc>
      </w:tr>
    </w:tbl>
    <w:p>
      <w:pPr>
        <w:spacing w:after="0"/>
      </w:pPr>
    </w:p>
    <w:sectPr>
      <w:footerReference w:type="default" r:id="rId9"/>
      <w:head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877567"/>
        <w:sz w:val="16"/>
      </w:rPr>
      <w:t xml:space="preserve">Muthana Zouri · Carmen Marinela Cumpăt   |   </w:t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6B2230"/>
        <w:sz w:val="16"/>
      </w:rPr>
      <w:t>DIGITAL RESOURCE COMPANION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re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6B223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03236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6B22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877567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6B223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877567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303236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303236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1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77567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77567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77567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77567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77567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77567" w:themeColor="accent1"/>
          <w:insideV w:val="single" w:sz="6" w:space="0" w:color="877567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77567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877567" w:themeColor="accent1"/>
        <w:bottom w:val="single" w:sz="4" w:space="0" w:color="877567" w:themeColor="accent1"/>
        <w:right w:val="single" w:sz="4" w:space="0" w:color="877567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877567"/>
      </w:tcPr>
    </w:tblStylePr>
    <w:tblStylePr w:type="lastCol">
      <w:rPr>
        <w:color w:val="FFFFFF"/>
      </w:rPr>
      <w:tblPr/>
      <w:tcPr>
        <w:shd w:val="clear" w:color="auto" w:fill="87756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0323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303236"/>
      </a:dk2>
      <a:lt2>
        <a:srgbClr val="F5F0E7"/>
      </a:lt2>
      <a:accent1>
        <a:srgbClr val="6B2230"/>
      </a:accent1>
      <a:accent2>
        <a:srgbClr val="BDA477"/>
      </a:accent2>
      <a:accent3>
        <a:srgbClr val="877567"/>
      </a:accent3>
      <a:accent4>
        <a:srgbClr val="303236"/>
      </a:accent4>
      <a:accent5>
        <a:srgbClr val="A36570"/>
      </a:accent5>
      <a:accent6>
        <a:srgbClr val="DDD0B7"/>
      </a:accent6>
      <a:hlink>
        <a:srgbClr val="6B2230"/>
      </a:hlink>
      <a:folHlink>
        <a:srgbClr val="877567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>
  <Applicat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Digital Resource Companion</dc:title>
  <dc:subject>Healthcare management, economics, evidence, and lifecycle governance</dc:subject>
  <dc:creator>Muthana Zouri; Carmen Marinela Cumpăt</dc:creator>
  <cp:lastModifiedBy/>
  <cp:revision>1</cp:revision>
</cp:coreProperties>
</file>