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00"/>
      </w:pPr>
      <w:r>
        <w:t>Artificial Intelligence</w:t>
      </w:r>
    </w:p>
    <w:p>
      <w:pPr>
        <w:pStyle w:val="Title"/>
        <w:spacing w:before="0"/>
      </w:pPr>
      <w:r>
        <w:t>in Healthcare Management and Economics</w:t>
      </w:r>
    </w:p>
    <w:p>
      <w:pPr>
        <w:pStyle w:val="Subtitle"/>
      </w:pPr>
      <w:r>
        <w:t>Evidence, Value, Governance, and Lifecycle Decision-Making</w:t>
      </w:r>
    </w:p>
    <w:p>
      <w:pPr>
        <w:pStyle w:val="Heading1"/>
        <w:spacing w:before="560"/>
      </w:pPr>
      <w:r>
        <w:t>Digital Resource Companion</w:t>
      </w:r>
    </w:p>
    <w:p>
      <w:pPr>
        <w:pStyle w:val="Subtitle"/>
      </w:pPr>
      <w:r>
        <w:t>Consolidated Core Resource Forms</w:t>
      </w:r>
    </w:p>
    <w:p>
      <w:r>
        <w:t>Muthana Zouri</w:t>
        <w:br/>
        <w:t>Carmen Marinela Cumpăt</w:t>
      </w:r>
    </w:p>
    <w:p>
      <w:r>
        <w:rPr>
          <w:sz w:val="18"/>
        </w:rPr>
        <w:t>Developed and maintained by the authors</w:t>
      </w:r>
    </w:p>
    <w:p>
      <w:r>
        <w:t>V1.0 | September 2026</w:t>
      </w:r>
    </w:p>
    <w:p>
      <w:pPr>
        <w:pStyle w:val="Heading1"/>
        <w:pageBreakBefore/>
      </w:pPr>
      <w:r>
        <w:t>Using the core forms</w:t>
      </w:r>
    </w:p>
    <w:p>
      <w:r>
        <w:t>This volume brings together the nineteen core institutional records aligned with Chapters 1–12. Select records according to the decision, consequence, uncertainty, scale, reversibility, and institutional dependence; the collection is not a mandatory checklist.</w:t>
      </w:r>
    </w:p>
    <w:p>
      <w:pPr>
        <w:pStyle w:val="ListBullet"/>
      </w:pPr>
      <w:r>
        <w:t>Begin with the service problem, population, setting, accountable decision-maker, and realistic comparator.</w:t>
      </w:r>
    </w:p>
    <w:p>
      <w:pPr>
        <w:pStyle w:val="ListBullet"/>
      </w:pPr>
      <w:r>
        <w:t>Create a governed local copy. Preserve the resource identifier, package version, evidence cut-off, intervention identity, owner, and record of local changes.</w:t>
      </w:r>
    </w:p>
    <w:p>
      <w:pPr>
        <w:pStyle w:val="ListBullet"/>
      </w:pPr>
      <w:r>
        <w:t>Replace synthetic or illustrative material with authorized, versioned local evidence. Keep unknowns, disagreements, assumptions, and limitations explicit.</w:t>
      </w:r>
    </w:p>
    <w:p>
      <w:pPr>
        <w:pStyle w:val="ListBullet"/>
      </w:pPr>
      <w:r>
        <w:t>Record the current institutional decision state, conditions, mandatory safeguards, monitoring thresholds, transition triggers, accountable authority, next review, and credible exit route.</w:t>
      </w:r>
    </w:p>
    <w:p>
      <w:pPr>
        <w:pStyle w:val="ListBullet"/>
      </w:pPr>
      <w:r>
        <w:t>Do not enter identifiable patient information, credentials, private keys, confidential contracts, or restricted institutional information into uncontrolled copies.</w:t>
      </w:r>
    </w:p>
    <w:p>
      <w:r>
        <w:t>These author-developed records support education, structured analysis, documentation, and institutional deliberation. A completed form does not establish safety, legality, effectiveness, equity, affordability, readiness, or authorization, and no favourable result can offset an unacceptable mandatory safeguard.</w:t>
      </w:r>
    </w:p>
    <w:p>
      <w:pPr>
        <w:pStyle w:val="Heading1"/>
      </w:pPr>
      <w:r>
        <w:t>Resource index</w:t>
      </w:r>
    </w:p>
    <w:tbl>
      <w:tblPr>
        <w:tblW w:type="auto" w:w="0"/>
        <w:tblLayout w:type="fixed"/>
        <w:tblLook w:firstColumn="1" w:firstRow="1" w:lastColumn="0" w:lastRow="0" w:noHBand="0" w:noVBand="1" w:val="04A0"/>
        <w:tblBorders>
          <w:top w:val="single" w:sz="4" w:color="D9D0C2"/>
          <w:left w:val="single" w:sz="4" w:color="D9D0C2"/>
          <w:bottom w:val="single" w:sz="4" w:color="D9D0C2"/>
          <w:right w:val="single" w:sz="4" w:color="D9D0C2"/>
          <w:insideH w:val="single" w:sz="4" w:color="D9D0C2"/>
          <w:insideV w:val="single" w:sz="4" w:color="D9D0C2"/>
        </w:tblBorders>
        <w:tblCellMar>
          <w:top w:w="80" w:type="dxa"/>
          <w:left w:w="80" w:type="dxa"/>
          <w:bottom w:w="80" w:type="dxa"/>
          <w:right w:w="80" w:type="dxa"/>
        </w:tblCellMar>
      </w:tblPr>
      <w:tblGrid>
        <w:gridCol w:w="3175"/>
        <w:gridCol w:w="6349"/>
        <w:gridCol w:w="4444"/>
      </w:tblGrid>
      <w:tr>
        <w:trPr>
          <w:tblHeader/>
          <w:cantSplit/>
        </w:trPr>
        <w:tc>
          <w:tcPr>
            <w:tcW w:type="dxa" w:w="3175"/>
            <w:shd w:fill="6B2230" w:val="clear"/>
          </w:tcPr>
          <w:p>
            <w:pPr>
              <w:spacing w:after="60" w:before="60"/>
            </w:pPr>
            <w:r>
              <w:rPr>
                <w:rFonts w:ascii="Aptos" w:hAnsi="Aptos"/>
                <w:b/>
                <w:color w:val="FFFFFF"/>
                <w:sz w:val="18"/>
              </w:rPr>
              <w:t>Resource</w:t>
            </w:r>
          </w:p>
        </w:tc>
        <w:tc>
          <w:tcPr>
            <w:tcW w:type="dxa" w:w="6349"/>
            <w:shd w:fill="6B2230" w:val="clear"/>
          </w:tcPr>
          <w:p>
            <w:pPr>
              <w:spacing w:after="60" w:before="60"/>
            </w:pPr>
            <w:r>
              <w:rPr>
                <w:rFonts w:ascii="Aptos" w:hAnsi="Aptos"/>
                <w:b/>
                <w:color w:val="FFFFFF"/>
                <w:sz w:val="18"/>
              </w:rPr>
              <w:t>Institutional record</w:t>
            </w:r>
          </w:p>
        </w:tc>
        <w:tc>
          <w:tcPr>
            <w:tcW w:type="dxa" w:w="4444"/>
            <w:shd w:fill="6B2230" w:val="clear"/>
          </w:tcPr>
          <w:p>
            <w:pPr>
              <w:spacing w:after="60" w:before="60"/>
            </w:pPr>
            <w:r>
              <w:rPr>
                <w:rFonts w:ascii="Aptos" w:hAnsi="Aptos"/>
                <w:b/>
                <w:color w:val="FFFFFF"/>
                <w:sz w:val="18"/>
              </w:rPr>
              <w:t>Primary chapter</w:t>
            </w:r>
          </w:p>
        </w:tc>
      </w:tr>
      <w:tr>
        <w:trPr>
          <w:cantSplit/>
        </w:trPr>
        <w:tc>
          <w:tcPr>
            <w:tcW w:type="dxa" w:w="3175"/>
            <w:shd w:fill="F5F0E7" w:val="clear"/>
          </w:tcPr>
          <w:p>
            <w:pPr>
              <w:spacing w:after="60" w:before="60" w:line="252" w:lineRule="auto"/>
            </w:pPr>
            <w:r>
              <w:rPr>
                <w:rFonts w:ascii="Aptos" w:hAnsi="Aptos"/>
                <w:color w:val="303236"/>
                <w:sz w:val="18"/>
              </w:rPr>
              <w:t>AIHE-A01</w:t>
            </w:r>
          </w:p>
        </w:tc>
        <w:tc>
          <w:tcPr>
            <w:tcW w:type="dxa" w:w="6349"/>
            <w:shd w:fill="F5F0E7" w:val="clear"/>
          </w:tcPr>
          <w:p>
            <w:pPr>
              <w:spacing w:after="60" w:before="60" w:line="252" w:lineRule="auto"/>
            </w:pPr>
            <w:r>
              <w:rPr>
                <w:rFonts w:ascii="Aptos" w:hAnsi="Aptos"/>
                <w:color w:val="303236"/>
                <w:sz w:val="18"/>
              </w:rPr>
              <w:t>Decision and Use-Case Specification</w:t>
            </w:r>
          </w:p>
        </w:tc>
        <w:tc>
          <w:tcPr>
            <w:tcW w:type="dxa" w:w="4444"/>
            <w:shd w:fill="F5F0E7" w:val="clear"/>
          </w:tcPr>
          <w:p>
            <w:pPr>
              <w:spacing w:after="60" w:before="60" w:line="252" w:lineRule="auto"/>
            </w:pPr>
            <w:r>
              <w:rPr>
                <w:rFonts w:ascii="Aptos" w:hAnsi="Aptos"/>
                <w:color w:val="303236"/>
                <w:sz w:val="18"/>
              </w:rPr>
              <w:t>1 — AI as a Health System Intervention</w:t>
            </w:r>
          </w:p>
        </w:tc>
      </w:tr>
      <w:tr>
        <w:trPr>
          <w:cantSplit/>
        </w:trPr>
        <w:tc>
          <w:tcPr>
            <w:tcW w:type="dxa" w:w="3175"/>
          </w:tcPr>
          <w:p>
            <w:pPr>
              <w:spacing w:after="60" w:before="60" w:line="252" w:lineRule="auto"/>
            </w:pPr>
            <w:r>
              <w:rPr>
                <w:rFonts w:ascii="Aptos" w:hAnsi="Aptos"/>
                <w:color w:val="303236"/>
                <w:sz w:val="18"/>
              </w:rPr>
              <w:t>AIHE-A02</w:t>
            </w:r>
          </w:p>
        </w:tc>
        <w:tc>
          <w:tcPr>
            <w:tcW w:type="dxa" w:w="6349"/>
          </w:tcPr>
          <w:p>
            <w:pPr>
              <w:spacing w:after="60" w:before="60" w:line="252" w:lineRule="auto"/>
            </w:pPr>
            <w:r>
              <w:rPr>
                <w:rFonts w:ascii="Aptos" w:hAnsi="Aptos"/>
                <w:color w:val="303236"/>
                <w:sz w:val="18"/>
              </w:rPr>
              <w:t>Stakeholders, Decision Rights, and Participation</w:t>
            </w:r>
          </w:p>
        </w:tc>
        <w:tc>
          <w:tcPr>
            <w:tcW w:type="dxa" w:w="4444"/>
          </w:tcPr>
          <w:p>
            <w:pPr>
              <w:spacing w:after="60" w:before="60" w:line="252" w:lineRule="auto"/>
            </w:pPr>
            <w:r>
              <w:rPr>
                <w:rFonts w:ascii="Aptos" w:hAnsi="Aptos"/>
                <w:color w:val="303236"/>
                <w:sz w:val="18"/>
              </w:rPr>
              <w:t>1 — AI as a Health System Intervention</w:t>
            </w:r>
          </w:p>
        </w:tc>
      </w:tr>
      <w:tr>
        <w:trPr>
          <w:cantSplit/>
        </w:trPr>
        <w:tc>
          <w:tcPr>
            <w:tcW w:type="dxa" w:w="3175"/>
            <w:shd w:fill="F5F0E7" w:val="clear"/>
          </w:tcPr>
          <w:p>
            <w:pPr>
              <w:spacing w:after="60" w:before="60" w:line="252" w:lineRule="auto"/>
            </w:pPr>
            <w:r>
              <w:rPr>
                <w:rFonts w:ascii="Aptos" w:hAnsi="Aptos"/>
                <w:color w:val="303236"/>
                <w:sz w:val="18"/>
              </w:rPr>
              <w:t>AIHE-A03</w:t>
            </w:r>
          </w:p>
        </w:tc>
        <w:tc>
          <w:tcPr>
            <w:tcW w:type="dxa" w:w="6349"/>
            <w:shd w:fill="F5F0E7" w:val="clear"/>
          </w:tcPr>
          <w:p>
            <w:pPr>
              <w:spacing w:after="60" w:before="60" w:line="252" w:lineRule="auto"/>
            </w:pPr>
            <w:r>
              <w:rPr>
                <w:rFonts w:ascii="Aptos" w:hAnsi="Aptos"/>
                <w:color w:val="303236"/>
                <w:sz w:val="18"/>
              </w:rPr>
              <w:t>Institutional Readiness Assessment</w:t>
            </w:r>
          </w:p>
        </w:tc>
        <w:tc>
          <w:tcPr>
            <w:tcW w:type="dxa" w:w="4444"/>
            <w:shd w:fill="F5F0E7" w:val="clear"/>
          </w:tcPr>
          <w:p>
            <w:pPr>
              <w:spacing w:after="60" w:before="60" w:line="252" w:lineRule="auto"/>
            </w:pPr>
            <w:r>
              <w:rPr>
                <w:rFonts w:ascii="Aptos" w:hAnsi="Aptos"/>
                <w:color w:val="303236"/>
                <w:sz w:val="18"/>
              </w:rPr>
              <w:t>2 — Institutional Readiness and Digital Foundations</w:t>
            </w:r>
          </w:p>
        </w:tc>
      </w:tr>
      <w:tr>
        <w:trPr>
          <w:cantSplit/>
        </w:trPr>
        <w:tc>
          <w:tcPr>
            <w:tcW w:type="dxa" w:w="3175"/>
          </w:tcPr>
          <w:p>
            <w:pPr>
              <w:spacing w:after="60" w:before="60" w:line="252" w:lineRule="auto"/>
            </w:pPr>
            <w:r>
              <w:rPr>
                <w:rFonts w:ascii="Aptos" w:hAnsi="Aptos"/>
                <w:color w:val="303236"/>
                <w:sz w:val="18"/>
              </w:rPr>
              <w:t>AIHE-A04</w:t>
            </w:r>
          </w:p>
        </w:tc>
        <w:tc>
          <w:tcPr>
            <w:tcW w:type="dxa" w:w="6349"/>
          </w:tcPr>
          <w:p>
            <w:pPr>
              <w:spacing w:after="60" w:before="60" w:line="252" w:lineRule="auto"/>
            </w:pPr>
            <w:r>
              <w:rPr>
                <w:rFonts w:ascii="Aptos" w:hAnsi="Aptos"/>
                <w:color w:val="303236"/>
                <w:sz w:val="18"/>
              </w:rPr>
              <w:t>Data Source, Provenance, and Fitness Record</w:t>
            </w:r>
          </w:p>
        </w:tc>
        <w:tc>
          <w:tcPr>
            <w:tcW w:type="dxa" w:w="4444"/>
          </w:tcPr>
          <w:p>
            <w:pPr>
              <w:spacing w:after="60" w:before="60" w:line="252" w:lineRule="auto"/>
            </w:pPr>
            <w:r>
              <w:rPr>
                <w:rFonts w:ascii="Aptos" w:hAnsi="Aptos"/>
                <w:color w:val="303236"/>
                <w:sz w:val="18"/>
              </w:rPr>
              <w:t>2 — Institutional Readiness and Digital Foundations</w:t>
            </w:r>
          </w:p>
        </w:tc>
      </w:tr>
      <w:tr>
        <w:trPr>
          <w:cantSplit/>
        </w:trPr>
        <w:tc>
          <w:tcPr>
            <w:tcW w:type="dxa" w:w="3175"/>
            <w:shd w:fill="F5F0E7" w:val="clear"/>
          </w:tcPr>
          <w:p>
            <w:pPr>
              <w:spacing w:after="60" w:before="60" w:line="252" w:lineRule="auto"/>
            </w:pPr>
            <w:r>
              <w:rPr>
                <w:rFonts w:ascii="Aptos" w:hAnsi="Aptos"/>
                <w:color w:val="303236"/>
                <w:sz w:val="18"/>
              </w:rPr>
              <w:t>AIHE-C04</w:t>
            </w:r>
          </w:p>
        </w:tc>
        <w:tc>
          <w:tcPr>
            <w:tcW w:type="dxa" w:w="6349"/>
            <w:shd w:fill="F5F0E7" w:val="clear"/>
          </w:tcPr>
          <w:p>
            <w:pPr>
              <w:spacing w:after="60" w:before="60" w:line="252" w:lineRule="auto"/>
            </w:pPr>
            <w:r>
              <w:rPr>
                <w:rFonts w:ascii="Aptos" w:hAnsi="Aptos"/>
                <w:color w:val="303236"/>
                <w:sz w:val="18"/>
              </w:rPr>
              <w:t>Human Oversight and Accountability Matrix</w:t>
            </w:r>
          </w:p>
        </w:tc>
        <w:tc>
          <w:tcPr>
            <w:tcW w:type="dxa" w:w="4444"/>
            <w:shd w:fill="F5F0E7" w:val="clear"/>
          </w:tcPr>
          <w:p>
            <w:pPr>
              <w:spacing w:after="60" w:before="60" w:line="252" w:lineRule="auto"/>
            </w:pPr>
            <w:r>
              <w:rPr>
                <w:rFonts w:ascii="Aptos" w:hAnsi="Aptos"/>
                <w:color w:val="303236"/>
                <w:sz w:val="18"/>
              </w:rPr>
              <w:t>3 — Human–AI Decision Systems and Managerial Action</w:t>
            </w:r>
          </w:p>
        </w:tc>
      </w:tr>
      <w:tr>
        <w:trPr>
          <w:cantSplit/>
        </w:trPr>
        <w:tc>
          <w:tcPr>
            <w:tcW w:type="dxa" w:w="3175"/>
          </w:tcPr>
          <w:p>
            <w:pPr>
              <w:spacing w:after="60" w:before="60" w:line="252" w:lineRule="auto"/>
            </w:pPr>
            <w:r>
              <w:rPr>
                <w:rFonts w:ascii="Aptos" w:hAnsi="Aptos"/>
                <w:color w:val="303236"/>
                <w:sz w:val="18"/>
              </w:rPr>
              <w:t>AIHE-B03</w:t>
            </w:r>
          </w:p>
        </w:tc>
        <w:tc>
          <w:tcPr>
            <w:tcW w:type="dxa" w:w="6349"/>
          </w:tcPr>
          <w:p>
            <w:pPr>
              <w:spacing w:after="60" w:before="60" w:line="252" w:lineRule="auto"/>
            </w:pPr>
            <w:r>
              <w:rPr>
                <w:rFonts w:ascii="Aptos" w:hAnsi="Aptos"/>
                <w:color w:val="303236"/>
                <w:sz w:val="18"/>
              </w:rPr>
              <w:t>Benefit Realization and Capacity Conversion</w:t>
            </w:r>
          </w:p>
        </w:tc>
        <w:tc>
          <w:tcPr>
            <w:tcW w:type="dxa" w:w="4444"/>
          </w:tcPr>
          <w:p>
            <w:pPr>
              <w:spacing w:after="60" w:before="60" w:line="252" w:lineRule="auto"/>
            </w:pPr>
            <w:r>
              <w:rPr>
                <w:rFonts w:ascii="Aptos" w:hAnsi="Aptos"/>
                <w:color w:val="303236"/>
                <w:sz w:val="18"/>
              </w:rPr>
              <w:t>4 — Productivity, Work Redesign, and Implementation</w:t>
            </w:r>
          </w:p>
        </w:tc>
      </w:tr>
      <w:tr>
        <w:trPr>
          <w:cantSplit/>
        </w:trPr>
        <w:tc>
          <w:tcPr>
            <w:tcW w:type="dxa" w:w="3175"/>
            <w:shd w:fill="F5F0E7" w:val="clear"/>
          </w:tcPr>
          <w:p>
            <w:pPr>
              <w:spacing w:after="60" w:before="60" w:line="252" w:lineRule="auto"/>
            </w:pPr>
            <w:r>
              <w:rPr>
                <w:rFonts w:ascii="Aptos" w:hAnsi="Aptos"/>
                <w:color w:val="303236"/>
                <w:sz w:val="18"/>
              </w:rPr>
              <w:t>AIHE-C01</w:t>
            </w:r>
          </w:p>
        </w:tc>
        <w:tc>
          <w:tcPr>
            <w:tcW w:type="dxa" w:w="6349"/>
            <w:shd w:fill="F5F0E7" w:val="clear"/>
          </w:tcPr>
          <w:p>
            <w:pPr>
              <w:spacing w:after="60" w:before="60" w:line="252" w:lineRule="auto"/>
            </w:pPr>
            <w:r>
              <w:rPr>
                <w:rFonts w:ascii="Aptos" w:hAnsi="Aptos"/>
                <w:color w:val="303236"/>
                <w:sz w:val="18"/>
              </w:rPr>
              <w:t>AI Quality-Control and Accreditation Evidence Plan</w:t>
            </w:r>
          </w:p>
        </w:tc>
        <w:tc>
          <w:tcPr>
            <w:tcW w:type="dxa" w:w="4444"/>
            <w:shd w:fill="F5F0E7" w:val="clear"/>
          </w:tcPr>
          <w:p>
            <w:pPr>
              <w:spacing w:after="60" w:before="60" w:line="252" w:lineRule="auto"/>
            </w:pPr>
            <w:r>
              <w:rPr>
                <w:rFonts w:ascii="Aptos" w:hAnsi="Aptos"/>
                <w:color w:val="303236"/>
                <w:sz w:val="18"/>
              </w:rPr>
              <w:t>5 — Quality Management, Accreditation, and Organizational Learning</w:t>
            </w:r>
          </w:p>
        </w:tc>
      </w:tr>
      <w:tr>
        <w:trPr>
          <w:cantSplit/>
        </w:trPr>
        <w:tc>
          <w:tcPr>
            <w:tcW w:type="dxa" w:w="3175"/>
          </w:tcPr>
          <w:p>
            <w:pPr>
              <w:spacing w:after="60" w:before="60" w:line="252" w:lineRule="auto"/>
            </w:pPr>
            <w:r>
              <w:rPr>
                <w:rFonts w:ascii="Aptos" w:hAnsi="Aptos"/>
                <w:color w:val="303236"/>
                <w:sz w:val="18"/>
              </w:rPr>
              <w:t>AIHE-C02</w:t>
            </w:r>
          </w:p>
        </w:tc>
        <w:tc>
          <w:tcPr>
            <w:tcW w:type="dxa" w:w="6349"/>
          </w:tcPr>
          <w:p>
            <w:pPr>
              <w:spacing w:after="60" w:before="60" w:line="252" w:lineRule="auto"/>
            </w:pPr>
            <w:r>
              <w:rPr>
                <w:rFonts w:ascii="Aptos" w:hAnsi="Aptos"/>
                <w:color w:val="303236"/>
                <w:sz w:val="18"/>
              </w:rPr>
              <w:t>Corrective and Preventive Action Record</w:t>
            </w:r>
          </w:p>
        </w:tc>
        <w:tc>
          <w:tcPr>
            <w:tcW w:type="dxa" w:w="4444"/>
          </w:tcPr>
          <w:p>
            <w:pPr>
              <w:spacing w:after="60" w:before="60" w:line="252" w:lineRule="auto"/>
            </w:pPr>
            <w:r>
              <w:rPr>
                <w:rFonts w:ascii="Aptos" w:hAnsi="Aptos"/>
                <w:color w:val="303236"/>
                <w:sz w:val="18"/>
              </w:rPr>
              <w:t>5 — Quality Management, Accreditation, and Organizational Learning</w:t>
            </w:r>
          </w:p>
        </w:tc>
      </w:tr>
      <w:tr>
        <w:trPr>
          <w:cantSplit/>
        </w:trPr>
        <w:tc>
          <w:tcPr>
            <w:tcW w:type="dxa" w:w="3175"/>
            <w:shd w:fill="F5F0E7" w:val="clear"/>
          </w:tcPr>
          <w:p>
            <w:pPr>
              <w:spacing w:after="60" w:before="60" w:line="252" w:lineRule="auto"/>
            </w:pPr>
            <w:r>
              <w:rPr>
                <w:rFonts w:ascii="Aptos" w:hAnsi="Aptos"/>
                <w:color w:val="303236"/>
                <w:sz w:val="18"/>
              </w:rPr>
              <w:t>AIHE-B01</w:t>
            </w:r>
          </w:p>
        </w:tc>
        <w:tc>
          <w:tcPr>
            <w:tcW w:type="dxa" w:w="6349"/>
            <w:shd w:fill="F5F0E7" w:val="clear"/>
          </w:tcPr>
          <w:p>
            <w:pPr>
              <w:spacing w:after="60" w:before="60" w:line="252" w:lineRule="auto"/>
            </w:pPr>
            <w:r>
              <w:rPr>
                <w:rFonts w:ascii="Aptos" w:hAnsi="Aptos"/>
                <w:color w:val="303236"/>
                <w:sz w:val="18"/>
              </w:rPr>
              <w:t>Economic Evaluation Specification</w:t>
            </w:r>
          </w:p>
        </w:tc>
        <w:tc>
          <w:tcPr>
            <w:tcW w:type="dxa" w:w="4444"/>
            <w:shd w:fill="F5F0E7" w:val="clear"/>
          </w:tcPr>
          <w:p>
            <w:pPr>
              <w:spacing w:after="60" w:before="60" w:line="252" w:lineRule="auto"/>
            </w:pPr>
            <w:r>
              <w:rPr>
                <w:rFonts w:ascii="Aptos" w:hAnsi="Aptos"/>
                <w:color w:val="303236"/>
                <w:sz w:val="18"/>
              </w:rPr>
              <w:t>6 — Lifecycle Cost, Pricing, and Benefit Realization</w:t>
            </w:r>
          </w:p>
        </w:tc>
      </w:tr>
      <w:tr>
        <w:trPr>
          <w:cantSplit/>
        </w:trPr>
        <w:tc>
          <w:tcPr>
            <w:tcW w:type="dxa" w:w="3175"/>
          </w:tcPr>
          <w:p>
            <w:pPr>
              <w:spacing w:after="60" w:before="60" w:line="252" w:lineRule="auto"/>
            </w:pPr>
            <w:r>
              <w:rPr>
                <w:rFonts w:ascii="Aptos" w:hAnsi="Aptos"/>
                <w:color w:val="303236"/>
                <w:sz w:val="18"/>
              </w:rPr>
              <w:t>AIHE-B02</w:t>
            </w:r>
          </w:p>
        </w:tc>
        <w:tc>
          <w:tcPr>
            <w:tcW w:type="dxa" w:w="6349"/>
          </w:tcPr>
          <w:p>
            <w:pPr>
              <w:spacing w:after="60" w:before="60" w:line="252" w:lineRule="auto"/>
            </w:pPr>
            <w:r>
              <w:rPr>
                <w:rFonts w:ascii="Aptos" w:hAnsi="Aptos"/>
                <w:color w:val="303236"/>
                <w:sz w:val="18"/>
              </w:rPr>
              <w:t>Lifecycle Cost and Pricing Record</w:t>
            </w:r>
          </w:p>
        </w:tc>
        <w:tc>
          <w:tcPr>
            <w:tcW w:type="dxa" w:w="4444"/>
          </w:tcPr>
          <w:p>
            <w:pPr>
              <w:spacing w:after="60" w:before="60" w:line="252" w:lineRule="auto"/>
            </w:pPr>
            <w:r>
              <w:rPr>
                <w:rFonts w:ascii="Aptos" w:hAnsi="Aptos"/>
                <w:color w:val="303236"/>
                <w:sz w:val="18"/>
              </w:rPr>
              <w:t>6 — Lifecycle Cost, Pricing, and Benefit Realization</w:t>
            </w:r>
          </w:p>
        </w:tc>
      </w:tr>
      <w:tr>
        <w:trPr>
          <w:cantSplit/>
        </w:trPr>
        <w:tc>
          <w:tcPr>
            <w:tcW w:type="dxa" w:w="3175"/>
            <w:shd w:fill="F5F0E7" w:val="clear"/>
          </w:tcPr>
          <w:p>
            <w:pPr>
              <w:spacing w:after="60" w:before="60" w:line="252" w:lineRule="auto"/>
            </w:pPr>
            <w:r>
              <w:rPr>
                <w:rFonts w:ascii="Aptos" w:hAnsi="Aptos"/>
                <w:color w:val="303236"/>
                <w:sz w:val="18"/>
              </w:rPr>
              <w:t>AIHE-B04</w:t>
            </w:r>
          </w:p>
        </w:tc>
        <w:tc>
          <w:tcPr>
            <w:tcW w:type="dxa" w:w="6349"/>
            <w:shd w:fill="F5F0E7" w:val="clear"/>
          </w:tcPr>
          <w:p>
            <w:pPr>
              <w:spacing w:after="60" w:before="60" w:line="252" w:lineRule="auto"/>
            </w:pPr>
            <w:r>
              <w:rPr>
                <w:rFonts w:ascii="Aptos" w:hAnsi="Aptos"/>
                <w:color w:val="303236"/>
                <w:sz w:val="18"/>
              </w:rPr>
              <w:t>Cost-Effectiveness, Budget Impact, and HTA Record</w:t>
            </w:r>
          </w:p>
        </w:tc>
        <w:tc>
          <w:tcPr>
            <w:tcW w:type="dxa" w:w="4444"/>
            <w:shd w:fill="F5F0E7" w:val="clear"/>
          </w:tcPr>
          <w:p>
            <w:pPr>
              <w:spacing w:after="60" w:before="60" w:line="252" w:lineRule="auto"/>
            </w:pPr>
            <w:r>
              <w:rPr>
                <w:rFonts w:ascii="Aptos" w:hAnsi="Aptos"/>
                <w:color w:val="303236"/>
                <w:sz w:val="18"/>
              </w:rPr>
              <w:t>7 — Economic Evaluation, Affordability, and Health Technology Assessment</w:t>
            </w:r>
          </w:p>
        </w:tc>
      </w:tr>
      <w:tr>
        <w:trPr>
          <w:cantSplit/>
        </w:trPr>
        <w:tc>
          <w:tcPr>
            <w:tcW w:type="dxa" w:w="3175"/>
          </w:tcPr>
          <w:p>
            <w:pPr>
              <w:spacing w:after="60" w:before="60" w:line="252" w:lineRule="auto"/>
            </w:pPr>
            <w:r>
              <w:rPr>
                <w:rFonts w:ascii="Aptos" w:hAnsi="Aptos"/>
                <w:color w:val="303236"/>
                <w:sz w:val="18"/>
              </w:rPr>
              <w:t>AIHE-B05</w:t>
            </w:r>
          </w:p>
        </w:tc>
        <w:tc>
          <w:tcPr>
            <w:tcW w:type="dxa" w:w="6349"/>
          </w:tcPr>
          <w:p>
            <w:pPr>
              <w:spacing w:after="60" w:before="60" w:line="252" w:lineRule="auto"/>
            </w:pPr>
            <w:r>
              <w:rPr>
                <w:rFonts w:ascii="Aptos" w:hAnsi="Aptos"/>
                <w:color w:val="303236"/>
                <w:sz w:val="18"/>
              </w:rPr>
              <w:t>Model Selection, Uncertainty, and Reproducibility</w:t>
            </w:r>
          </w:p>
        </w:tc>
        <w:tc>
          <w:tcPr>
            <w:tcW w:type="dxa" w:w="4444"/>
          </w:tcPr>
          <w:p>
            <w:pPr>
              <w:spacing w:after="60" w:before="60" w:line="252" w:lineRule="auto"/>
            </w:pPr>
            <w:r>
              <w:rPr>
                <w:rFonts w:ascii="Aptos" w:hAnsi="Aptos"/>
                <w:color w:val="303236"/>
                <w:sz w:val="18"/>
              </w:rPr>
              <w:t>8 — Decision Modelling, Simulation, and the Value of Information</w:t>
            </w:r>
          </w:p>
        </w:tc>
      </w:tr>
      <w:tr>
        <w:trPr>
          <w:cantSplit/>
        </w:trPr>
        <w:tc>
          <w:tcPr>
            <w:tcW w:type="dxa" w:w="3175"/>
            <w:shd w:fill="F5F0E7" w:val="clear"/>
          </w:tcPr>
          <w:p>
            <w:pPr>
              <w:spacing w:after="60" w:before="60" w:line="252" w:lineRule="auto"/>
            </w:pPr>
            <w:r>
              <w:rPr>
                <w:rFonts w:ascii="Aptos" w:hAnsi="Aptos"/>
                <w:color w:val="303236"/>
                <w:sz w:val="18"/>
              </w:rPr>
              <w:t>AIHE-D01</w:t>
            </w:r>
          </w:p>
        </w:tc>
        <w:tc>
          <w:tcPr>
            <w:tcW w:type="dxa" w:w="6349"/>
            <w:shd w:fill="F5F0E7" w:val="clear"/>
          </w:tcPr>
          <w:p>
            <w:pPr>
              <w:spacing w:after="60" w:before="60" w:line="252" w:lineRule="auto"/>
            </w:pPr>
            <w:r>
              <w:rPr>
                <w:rFonts w:ascii="Aptos" w:hAnsi="Aptos"/>
                <w:color w:val="303236"/>
                <w:sz w:val="18"/>
              </w:rPr>
              <w:t>Vendor Evidence and Contract Requirements</w:t>
            </w:r>
          </w:p>
        </w:tc>
        <w:tc>
          <w:tcPr>
            <w:tcW w:type="dxa" w:w="4444"/>
            <w:shd w:fill="F5F0E7" w:val="clear"/>
          </w:tcPr>
          <w:p>
            <w:pPr>
              <w:spacing w:after="60" w:before="60" w:line="252" w:lineRule="auto"/>
            </w:pPr>
            <w:r>
              <w:rPr>
                <w:rFonts w:ascii="Aptos" w:hAnsi="Aptos"/>
                <w:color w:val="303236"/>
                <w:sz w:val="18"/>
              </w:rPr>
              <w:t>9 — Problem-First Procurement and Vendor Governance</w:t>
            </w:r>
          </w:p>
        </w:tc>
      </w:tr>
      <w:tr>
        <w:trPr>
          <w:cantSplit/>
        </w:trPr>
        <w:tc>
          <w:tcPr>
            <w:tcW w:type="dxa" w:w="3175"/>
          </w:tcPr>
          <w:p>
            <w:pPr>
              <w:spacing w:after="60" w:before="60" w:line="252" w:lineRule="auto"/>
            </w:pPr>
            <w:r>
              <w:rPr>
                <w:rFonts w:ascii="Aptos" w:hAnsi="Aptos"/>
                <w:color w:val="303236"/>
                <w:sz w:val="18"/>
              </w:rPr>
              <w:t>AIHE-C03</w:t>
            </w:r>
          </w:p>
        </w:tc>
        <w:tc>
          <w:tcPr>
            <w:tcW w:type="dxa" w:w="6349"/>
          </w:tcPr>
          <w:p>
            <w:pPr>
              <w:spacing w:after="60" w:before="60" w:line="252" w:lineRule="auto"/>
            </w:pPr>
            <w:r>
              <w:rPr>
                <w:rFonts w:ascii="Aptos" w:hAnsi="Aptos"/>
                <w:color w:val="303236"/>
                <w:sz w:val="18"/>
              </w:rPr>
              <w:t>Integrated Institutional-Risk Review</w:t>
            </w:r>
          </w:p>
        </w:tc>
        <w:tc>
          <w:tcPr>
            <w:tcW w:type="dxa" w:w="4444"/>
          </w:tcPr>
          <w:p>
            <w:pPr>
              <w:spacing w:after="60" w:before="60" w:line="252" w:lineRule="auto"/>
            </w:pPr>
            <w:r>
              <w:rPr>
                <w:rFonts w:ascii="Aptos" w:hAnsi="Aptos"/>
                <w:color w:val="303236"/>
                <w:sz w:val="18"/>
              </w:rPr>
              <w:t>10 — Governance, Accountability, and Institutional Risk</w:t>
            </w:r>
          </w:p>
        </w:tc>
      </w:tr>
      <w:tr>
        <w:trPr>
          <w:cantSplit/>
        </w:trPr>
        <w:tc>
          <w:tcPr>
            <w:tcW w:type="dxa" w:w="3175"/>
            <w:shd w:fill="F5F0E7" w:val="clear"/>
          </w:tcPr>
          <w:p>
            <w:pPr>
              <w:spacing w:after="60" w:before="60" w:line="252" w:lineRule="auto"/>
            </w:pPr>
            <w:r>
              <w:rPr>
                <w:rFonts w:ascii="Aptos" w:hAnsi="Aptos"/>
                <w:color w:val="303236"/>
                <w:sz w:val="18"/>
              </w:rPr>
              <w:t>AIHE-C05</w:t>
            </w:r>
          </w:p>
        </w:tc>
        <w:tc>
          <w:tcPr>
            <w:tcW w:type="dxa" w:w="6349"/>
            <w:shd w:fill="F5F0E7" w:val="clear"/>
          </w:tcPr>
          <w:p>
            <w:pPr>
              <w:spacing w:after="60" w:before="60" w:line="252" w:lineRule="auto"/>
            </w:pPr>
            <w:r>
              <w:rPr>
                <w:rFonts w:ascii="Aptos" w:hAnsi="Aptos"/>
                <w:color w:val="303236"/>
                <w:sz w:val="18"/>
              </w:rPr>
              <w:t>Public Transparency and Communication Record</w:t>
            </w:r>
          </w:p>
        </w:tc>
        <w:tc>
          <w:tcPr>
            <w:tcW w:type="dxa" w:w="4444"/>
            <w:shd w:fill="F5F0E7" w:val="clear"/>
          </w:tcPr>
          <w:p>
            <w:pPr>
              <w:spacing w:after="60" w:before="60" w:line="252" w:lineRule="auto"/>
            </w:pPr>
            <w:r>
              <w:rPr>
                <w:rFonts w:ascii="Aptos" w:hAnsi="Aptos"/>
                <w:color w:val="303236"/>
                <w:sz w:val="18"/>
              </w:rPr>
              <w:t>10 — Governance, Accountability, and Institutional Risk</w:t>
            </w:r>
          </w:p>
        </w:tc>
      </w:tr>
      <w:tr>
        <w:trPr>
          <w:cantSplit/>
        </w:trPr>
        <w:tc>
          <w:tcPr>
            <w:tcW w:type="dxa" w:w="3175"/>
          </w:tcPr>
          <w:p>
            <w:pPr>
              <w:spacing w:after="60" w:before="60" w:line="252" w:lineRule="auto"/>
            </w:pPr>
            <w:r>
              <w:rPr>
                <w:rFonts w:ascii="Aptos" w:hAnsi="Aptos"/>
                <w:color w:val="303236"/>
                <w:sz w:val="18"/>
              </w:rPr>
              <w:t>AIHE-D02</w:t>
            </w:r>
          </w:p>
        </w:tc>
        <w:tc>
          <w:tcPr>
            <w:tcW w:type="dxa" w:w="6349"/>
          </w:tcPr>
          <w:p>
            <w:pPr>
              <w:spacing w:after="60" w:before="60" w:line="252" w:lineRule="auto"/>
            </w:pPr>
            <w:r>
              <w:rPr>
                <w:rFonts w:ascii="Aptos" w:hAnsi="Aptos"/>
                <w:color w:val="303236"/>
                <w:sz w:val="18"/>
              </w:rPr>
              <w:t>Lifecycle Decision State, Staged Evidence, and AI-HED Status</w:t>
            </w:r>
          </w:p>
        </w:tc>
        <w:tc>
          <w:tcPr>
            <w:tcW w:type="dxa" w:w="4444"/>
          </w:tcPr>
          <w:p>
            <w:pPr>
              <w:spacing w:after="60" w:before="60" w:line="252" w:lineRule="auto"/>
            </w:pPr>
            <w:r>
              <w:rPr>
                <w:rFonts w:ascii="Aptos" w:hAnsi="Aptos"/>
                <w:color w:val="303236"/>
                <w:sz w:val="18"/>
              </w:rPr>
              <w:t>12 — Decision Architecture and Lifecycle Governance</w:t>
            </w:r>
          </w:p>
        </w:tc>
      </w:tr>
      <w:tr>
        <w:trPr>
          <w:cantSplit/>
        </w:trPr>
        <w:tc>
          <w:tcPr>
            <w:tcW w:type="dxa" w:w="3175"/>
            <w:shd w:fill="F5F0E7" w:val="clear"/>
          </w:tcPr>
          <w:p>
            <w:pPr>
              <w:spacing w:after="60" w:before="60" w:line="252" w:lineRule="auto"/>
            </w:pPr>
            <w:r>
              <w:rPr>
                <w:rFonts w:ascii="Aptos" w:hAnsi="Aptos"/>
                <w:color w:val="303236"/>
                <w:sz w:val="18"/>
              </w:rPr>
              <w:t>AIHE-D03</w:t>
            </w:r>
          </w:p>
        </w:tc>
        <w:tc>
          <w:tcPr>
            <w:tcW w:type="dxa" w:w="6349"/>
            <w:shd w:fill="F5F0E7" w:val="clear"/>
          </w:tcPr>
          <w:p>
            <w:pPr>
              <w:spacing w:after="60" w:before="60" w:line="252" w:lineRule="auto"/>
            </w:pPr>
            <w:r>
              <w:rPr>
                <w:rFonts w:ascii="Aptos" w:hAnsi="Aptos"/>
                <w:color w:val="303236"/>
                <w:sz w:val="18"/>
              </w:rPr>
              <w:t>Post-Deployment Monitoring and Algorithmovigilance Cadence</w:t>
            </w:r>
          </w:p>
        </w:tc>
        <w:tc>
          <w:tcPr>
            <w:tcW w:type="dxa" w:w="4444"/>
            <w:shd w:fill="F5F0E7" w:val="clear"/>
          </w:tcPr>
          <w:p>
            <w:pPr>
              <w:spacing w:after="60" w:before="60" w:line="252" w:lineRule="auto"/>
            </w:pPr>
            <w:r>
              <w:rPr>
                <w:rFonts w:ascii="Aptos" w:hAnsi="Aptos"/>
                <w:color w:val="303236"/>
                <w:sz w:val="18"/>
              </w:rPr>
              <w:t>12 — Decision Architecture and Lifecycle Governance</w:t>
            </w:r>
          </w:p>
        </w:tc>
      </w:tr>
      <w:tr>
        <w:trPr>
          <w:cantSplit/>
        </w:trPr>
        <w:tc>
          <w:tcPr>
            <w:tcW w:type="dxa" w:w="3175"/>
          </w:tcPr>
          <w:p>
            <w:pPr>
              <w:spacing w:after="60" w:before="60" w:line="252" w:lineRule="auto"/>
            </w:pPr>
            <w:r>
              <w:rPr>
                <w:rFonts w:ascii="Aptos" w:hAnsi="Aptos"/>
                <w:color w:val="303236"/>
                <w:sz w:val="18"/>
              </w:rPr>
              <w:t>AIHE-D04</w:t>
            </w:r>
          </w:p>
        </w:tc>
        <w:tc>
          <w:tcPr>
            <w:tcW w:type="dxa" w:w="6349"/>
          </w:tcPr>
          <w:p>
            <w:pPr>
              <w:spacing w:after="60" w:before="60" w:line="252" w:lineRule="auto"/>
            </w:pPr>
            <w:r>
              <w:rPr>
                <w:rFonts w:ascii="Aptos" w:hAnsi="Aptos"/>
                <w:color w:val="303236"/>
                <w:sz w:val="18"/>
              </w:rPr>
              <w:t>Incident Classification and Reconstruction</w:t>
            </w:r>
          </w:p>
        </w:tc>
        <w:tc>
          <w:tcPr>
            <w:tcW w:type="dxa" w:w="4444"/>
          </w:tcPr>
          <w:p>
            <w:pPr>
              <w:spacing w:after="60" w:before="60" w:line="252" w:lineRule="auto"/>
            </w:pPr>
            <w:r>
              <w:rPr>
                <w:rFonts w:ascii="Aptos" w:hAnsi="Aptos"/>
                <w:color w:val="303236"/>
                <w:sz w:val="18"/>
              </w:rPr>
              <w:t>12 — Decision Architecture and Lifecycle Governance</w:t>
            </w:r>
          </w:p>
        </w:tc>
      </w:tr>
      <w:tr>
        <w:trPr>
          <w:cantSplit/>
        </w:trPr>
        <w:tc>
          <w:tcPr>
            <w:tcW w:type="dxa" w:w="3175"/>
            <w:shd w:fill="F5F0E7" w:val="clear"/>
          </w:tcPr>
          <w:p>
            <w:pPr>
              <w:spacing w:after="60" w:before="60" w:line="252" w:lineRule="auto"/>
            </w:pPr>
            <w:r>
              <w:rPr>
                <w:rFonts w:ascii="Aptos" w:hAnsi="Aptos"/>
                <w:color w:val="303236"/>
                <w:sz w:val="18"/>
              </w:rPr>
              <w:t>AIHE-D05</w:t>
            </w:r>
          </w:p>
        </w:tc>
        <w:tc>
          <w:tcPr>
            <w:tcW w:type="dxa" w:w="6349"/>
            <w:shd w:fill="F5F0E7" w:val="clear"/>
          </w:tcPr>
          <w:p>
            <w:pPr>
              <w:spacing w:after="60" w:before="60" w:line="252" w:lineRule="auto"/>
            </w:pPr>
            <w:r>
              <w:rPr>
                <w:rFonts w:ascii="Aptos" w:hAnsi="Aptos"/>
                <w:color w:val="303236"/>
                <w:sz w:val="18"/>
              </w:rPr>
              <w:t>Material Change, Reauthorization, Renewal, Replacement, and Retirement Record</w:t>
            </w:r>
          </w:p>
        </w:tc>
        <w:tc>
          <w:tcPr>
            <w:tcW w:type="dxa" w:w="4444"/>
            <w:shd w:fill="F5F0E7" w:val="clear"/>
          </w:tcPr>
          <w:p>
            <w:pPr>
              <w:spacing w:after="60" w:before="60" w:line="252" w:lineRule="auto"/>
            </w:pPr>
            <w:r>
              <w:rPr>
                <w:rFonts w:ascii="Aptos" w:hAnsi="Aptos"/>
                <w:color w:val="303236"/>
                <w:sz w:val="18"/>
              </w:rPr>
              <w:t>12 — Decision Architecture and Lifecycle Governance</w:t>
            </w:r>
          </w:p>
        </w:tc>
      </w:tr>
    </w:tbl>
    <w:p>
      <w:pPr>
        <w:pageBreakBefore/>
        <w:spacing w:after="80"/>
      </w:pPr>
      <w:r>
        <w:rPr>
          <w:rFonts w:ascii="Aptos" w:hAnsi="Aptos"/>
          <w:color w:val="877567"/>
          <w:sz w:val="18"/>
        </w:rPr>
        <w:t>Part I — Managerial and Economic Foundations</w:t>
      </w:r>
    </w:p>
    <w:p>
      <w:pPr>
        <w:pStyle w:val="Heading1"/>
      </w:pPr>
      <w:r>
        <w:t>AIHE-A01 — Decision and Use-Case Specification</w:t>
      </w:r>
    </w:p>
    <w:p>
      <w:pPr>
        <w:spacing w:after="80"/>
      </w:pPr>
      <w:r>
        <w:rPr>
          <w:color w:val="877567"/>
          <w:sz w:val="20"/>
        </w:rPr>
        <w:t>Chapter 1: AI as a Health System Intervention</w:t>
      </w:r>
    </w:p>
    <w:p>
      <w:r>
        <w:t>Define the service problem, full intervention, realistic comparators, outcomes, value mechanism, decision rule, and review cycle.</w:t>
      </w:r>
    </w:p>
    <w:p>
      <w:r>
        <w:rPr>
          <w:rFonts w:ascii="Aptos" w:hAnsi="Aptos"/>
          <w:sz w:val="17"/>
        </w:rPr>
        <w:t>Resource: AIHE-A01  |  V1.0  |  Aligned chapters: 1, 2, 3</w:t>
      </w:r>
    </w:p>
    <w:p>
      <w:r>
        <w:t>Complete the record with the people who own the evidence, workflow, budget, safeguards, and follow-up action. Distinguish documented evidence from assumptions and planned evidence collection. Record the exact intervention and version, accountable owner, decision conditions, evidence cut-off, review date, and trigger events.</w:t>
      </w:r>
    </w:p>
    <w:tbl>
      <w:tblPr>
        <w:tblW w:type="auto" w:w="0"/>
        <w:tblLayout w:type="fixed"/>
        <w:tblLook w:firstColumn="1" w:firstRow="1" w:lastColumn="0" w:lastRow="0" w:noHBand="0" w:noVBand="1" w:val="04A0"/>
        <w:tblBorders>
          <w:top w:val="single" w:sz="4" w:color="D9D0C2"/>
          <w:left w:val="single" w:sz="4" w:color="D9D0C2"/>
          <w:bottom w:val="single" w:sz="4" w:color="D9D0C2"/>
          <w:right w:val="single" w:sz="4" w:color="D9D0C2"/>
          <w:insideH w:val="single" w:sz="4" w:color="D9D0C2"/>
          <w:insideV w:val="single" w:sz="4" w:color="D9D0C2"/>
        </w:tblBorders>
        <w:tblCellMar>
          <w:top w:w="80" w:type="dxa"/>
          <w:left w:w="80" w:type="dxa"/>
          <w:bottom w:w="80" w:type="dxa"/>
          <w:right w:w="80" w:type="dxa"/>
        </w:tblCellMar>
      </w:tblPr>
      <w:tblGrid>
        <w:gridCol w:w="3175"/>
        <w:gridCol w:w="6349"/>
        <w:gridCol w:w="4444"/>
      </w:tblGrid>
      <w:tr>
        <w:trPr>
          <w:tblHeader/>
          <w:cantSplit/>
        </w:trPr>
        <w:tc>
          <w:tcPr>
            <w:tcW w:type="dxa" w:w="3175"/>
            <w:shd w:fill="6B2230" w:val="clear"/>
          </w:tcPr>
          <w:p>
            <w:pPr>
              <w:spacing w:after="60" w:before="60"/>
            </w:pPr>
            <w:r>
              <w:rPr>
                <w:rFonts w:ascii="Aptos" w:hAnsi="Aptos"/>
                <w:b/>
                <w:color w:val="FFFFFF"/>
                <w:sz w:val="18"/>
              </w:rPr>
              <w:t>Field</w:t>
            </w:r>
          </w:p>
        </w:tc>
        <w:tc>
          <w:tcPr>
            <w:tcW w:type="dxa" w:w="6349"/>
            <w:shd w:fill="6B2230" w:val="clear"/>
          </w:tcPr>
          <w:p>
            <w:pPr>
              <w:spacing w:after="60" w:before="60"/>
            </w:pPr>
            <w:r>
              <w:rPr>
                <w:rFonts w:ascii="Aptos" w:hAnsi="Aptos"/>
                <w:b/>
                <w:color w:val="FFFFFF"/>
                <w:sz w:val="18"/>
              </w:rPr>
              <w:t>Guidance</w:t>
            </w:r>
          </w:p>
        </w:tc>
        <w:tc>
          <w:tcPr>
            <w:tcW w:type="dxa" w:w="4444"/>
            <w:shd w:fill="6B2230" w:val="clear"/>
          </w:tcPr>
          <w:p>
            <w:pPr>
              <w:spacing w:after="60" w:before="60"/>
            </w:pPr>
            <w:r>
              <w:rPr>
                <w:rFonts w:ascii="Aptos" w:hAnsi="Aptos"/>
                <w:b/>
                <w:color w:val="FFFFFF"/>
                <w:sz w:val="18"/>
              </w:rPr>
              <w:t>Institutional response</w:t>
            </w:r>
          </w:p>
        </w:tc>
      </w:tr>
      <w:tr>
        <w:trPr>
          <w:cantSplit/>
        </w:trPr>
        <w:tc>
          <w:tcPr>
            <w:tcW w:type="dxa" w:w="3175"/>
            <w:shd w:fill="F5F0E7" w:val="clear"/>
          </w:tcPr>
          <w:p>
            <w:pPr>
              <w:spacing w:after="60" w:before="60" w:line="252" w:lineRule="auto"/>
            </w:pPr>
            <w:r>
              <w:rPr>
                <w:rFonts w:ascii="Aptos" w:hAnsi="Aptos"/>
                <w:color w:val="303236"/>
                <w:sz w:val="18"/>
              </w:rPr>
              <w:t>Service problem and baseline burden</w:t>
            </w:r>
          </w:p>
        </w:tc>
        <w:tc>
          <w:tcPr>
            <w:tcW w:type="dxa" w:w="6349"/>
            <w:shd w:fill="F5F0E7" w:val="clear"/>
          </w:tcPr>
          <w:p>
            <w:pPr>
              <w:spacing w:after="60" w:before="60" w:line="252" w:lineRule="auto"/>
            </w:pPr>
            <w:r>
              <w:rPr>
                <w:rFonts w:ascii="Aptos" w:hAnsi="Aptos"/>
                <w:color w:val="303236"/>
                <w:sz w:val="18"/>
              </w:rPr>
              <w:t>Describe the unmet clinical, operational, workforce, quality, accreditation, or public-health need using measurable baseline evidence.</w:t>
            </w:r>
          </w:p>
        </w:tc>
        <w:tc>
          <w:tcPr>
            <w:tcW w:type="dxa" w:w="4444"/>
            <w:shd w:fill="F5F0E7" w:val="clear"/>
          </w:tcPr>
          <w:p>
            <w:pPr>
              <w:spacing w:after="60" w:before="60" w:line="252" w:lineRule="auto"/>
            </w:pPr>
            <w:r>
              <w:rPr>
                <w:rFonts w:ascii="Aptos" w:hAnsi="Aptos"/>
                <w:color w:val="303236"/>
                <w:sz w:val="18"/>
              </w:rPr>
            </w:r>
          </w:p>
        </w:tc>
      </w:tr>
      <w:tr>
        <w:trPr>
          <w:cantSplit/>
        </w:trPr>
        <w:tc>
          <w:tcPr>
            <w:tcW w:type="dxa" w:w="3175"/>
          </w:tcPr>
          <w:p>
            <w:pPr>
              <w:spacing w:after="60" w:before="60" w:line="252" w:lineRule="auto"/>
            </w:pPr>
            <w:r>
              <w:rPr>
                <w:rFonts w:ascii="Aptos" w:hAnsi="Aptos"/>
                <w:color w:val="303236"/>
                <w:sz w:val="18"/>
              </w:rPr>
              <w:t>Population and setting</w:t>
            </w:r>
          </w:p>
        </w:tc>
        <w:tc>
          <w:tcPr>
            <w:tcW w:type="dxa" w:w="6349"/>
          </w:tcPr>
          <w:p>
            <w:pPr>
              <w:spacing w:after="60" w:before="60" w:line="252" w:lineRule="auto"/>
            </w:pPr>
            <w:r>
              <w:rPr>
                <w:rFonts w:ascii="Aptos" w:hAnsi="Aptos"/>
                <w:color w:val="303236"/>
                <w:sz w:val="18"/>
              </w:rPr>
              <w:t>Define included and excluded populations, services, locations, and time periods.</w:t>
            </w:r>
          </w:p>
        </w:tc>
        <w:tc>
          <w:tcPr>
            <w:tcW w:type="dxa" w:w="4444"/>
          </w:tcPr>
          <w:p>
            <w:pPr>
              <w:spacing w:after="60" w:before="60" w:line="252" w:lineRule="auto"/>
            </w:pPr>
            <w:r>
              <w:rPr>
                <w:rFonts w:ascii="Aptos" w:hAnsi="Aptos"/>
                <w:color w:val="303236"/>
                <w:sz w:val="18"/>
              </w:rPr>
            </w:r>
          </w:p>
        </w:tc>
      </w:tr>
      <w:tr>
        <w:trPr>
          <w:cantSplit/>
        </w:trPr>
        <w:tc>
          <w:tcPr>
            <w:tcW w:type="dxa" w:w="3175"/>
            <w:shd w:fill="F5F0E7" w:val="clear"/>
          </w:tcPr>
          <w:p>
            <w:pPr>
              <w:spacing w:after="60" w:before="60" w:line="252" w:lineRule="auto"/>
            </w:pPr>
            <w:r>
              <w:rPr>
                <w:rFonts w:ascii="Aptos" w:hAnsi="Aptos"/>
                <w:color w:val="303236"/>
                <w:sz w:val="18"/>
              </w:rPr>
              <w:t>AI-enabled intervention</w:t>
            </w:r>
          </w:p>
        </w:tc>
        <w:tc>
          <w:tcPr>
            <w:tcW w:type="dxa" w:w="6349"/>
            <w:shd w:fill="F5F0E7" w:val="clear"/>
          </w:tcPr>
          <w:p>
            <w:pPr>
              <w:spacing w:after="60" w:before="60" w:line="252" w:lineRule="auto"/>
            </w:pPr>
            <w:r>
              <w:rPr>
                <w:rFonts w:ascii="Aptos" w:hAnsi="Aptos"/>
                <w:color w:val="303236"/>
                <w:sz w:val="18"/>
              </w:rPr>
              <w:t>Describe the complete intervention bundle: data, model, interfaces, thresholds, users, review, workflow, downstream action, monitoring, support, and exit.</w:t>
            </w:r>
          </w:p>
        </w:tc>
        <w:tc>
          <w:tcPr>
            <w:tcW w:type="dxa" w:w="4444"/>
            <w:shd w:fill="F5F0E7" w:val="clear"/>
          </w:tcPr>
          <w:p>
            <w:pPr>
              <w:spacing w:after="60" w:before="60" w:line="252" w:lineRule="auto"/>
            </w:pPr>
            <w:r>
              <w:rPr>
                <w:rFonts w:ascii="Aptos" w:hAnsi="Aptos"/>
                <w:color w:val="303236"/>
                <w:sz w:val="18"/>
              </w:rPr>
            </w:r>
          </w:p>
        </w:tc>
      </w:tr>
      <w:tr>
        <w:trPr>
          <w:cantSplit/>
        </w:trPr>
        <w:tc>
          <w:tcPr>
            <w:tcW w:type="dxa" w:w="3175"/>
          </w:tcPr>
          <w:p>
            <w:pPr>
              <w:spacing w:after="60" w:before="60" w:line="252" w:lineRule="auto"/>
            </w:pPr>
            <w:r>
              <w:rPr>
                <w:rFonts w:ascii="Aptos" w:hAnsi="Aptos"/>
                <w:color w:val="303236"/>
                <w:sz w:val="18"/>
              </w:rPr>
              <w:t>Realistic comparators</w:t>
            </w:r>
          </w:p>
        </w:tc>
        <w:tc>
          <w:tcPr>
            <w:tcW w:type="dxa" w:w="6349"/>
          </w:tcPr>
          <w:p>
            <w:pPr>
              <w:spacing w:after="60" w:before="60" w:line="252" w:lineRule="auto"/>
            </w:pPr>
            <w:r>
              <w:rPr>
                <w:rFonts w:ascii="Aptos" w:hAnsi="Aptos"/>
                <w:color w:val="303236"/>
                <w:sz w:val="18"/>
              </w:rPr>
              <w:t>Record current practice, process redesign, staffing, equipment, conventional digital tools, alternative AI, shared service, and no-change options where relevant.</w:t>
            </w:r>
          </w:p>
        </w:tc>
        <w:tc>
          <w:tcPr>
            <w:tcW w:type="dxa" w:w="4444"/>
          </w:tcPr>
          <w:p>
            <w:pPr>
              <w:spacing w:after="60" w:before="60" w:line="252" w:lineRule="auto"/>
            </w:pPr>
            <w:r>
              <w:rPr>
                <w:rFonts w:ascii="Aptos" w:hAnsi="Aptos"/>
                <w:color w:val="303236"/>
                <w:sz w:val="18"/>
              </w:rPr>
            </w:r>
          </w:p>
        </w:tc>
      </w:tr>
      <w:tr>
        <w:trPr>
          <w:cantSplit/>
        </w:trPr>
        <w:tc>
          <w:tcPr>
            <w:tcW w:type="dxa" w:w="3175"/>
            <w:shd w:fill="F5F0E7" w:val="clear"/>
          </w:tcPr>
          <w:p>
            <w:pPr>
              <w:spacing w:after="60" w:before="60" w:line="252" w:lineRule="auto"/>
            </w:pPr>
            <w:r>
              <w:rPr>
                <w:rFonts w:ascii="Aptos" w:hAnsi="Aptos"/>
                <w:color w:val="303236"/>
                <w:sz w:val="18"/>
              </w:rPr>
              <w:t>Decision-maker and perspective</w:t>
            </w:r>
          </w:p>
        </w:tc>
        <w:tc>
          <w:tcPr>
            <w:tcW w:type="dxa" w:w="6349"/>
            <w:shd w:fill="F5F0E7" w:val="clear"/>
          </w:tcPr>
          <w:p>
            <w:pPr>
              <w:spacing w:after="60" w:before="60" w:line="252" w:lineRule="auto"/>
            </w:pPr>
            <w:r>
              <w:rPr>
                <w:rFonts w:ascii="Aptos" w:hAnsi="Aptos"/>
                <w:color w:val="303236"/>
                <w:sz w:val="18"/>
              </w:rPr>
              <w:t>Identify the authority making the decision and the hospital, health-system, payer, patient, societal, or combined perspective.</w:t>
            </w:r>
          </w:p>
        </w:tc>
        <w:tc>
          <w:tcPr>
            <w:tcW w:type="dxa" w:w="4444"/>
            <w:shd w:fill="F5F0E7" w:val="clear"/>
          </w:tcPr>
          <w:p>
            <w:pPr>
              <w:spacing w:after="60" w:before="60" w:line="252" w:lineRule="auto"/>
            </w:pPr>
            <w:r>
              <w:rPr>
                <w:rFonts w:ascii="Aptos" w:hAnsi="Aptos"/>
                <w:color w:val="303236"/>
                <w:sz w:val="18"/>
              </w:rPr>
            </w:r>
          </w:p>
        </w:tc>
      </w:tr>
      <w:tr>
        <w:trPr>
          <w:cantSplit/>
        </w:trPr>
        <w:tc>
          <w:tcPr>
            <w:tcW w:type="dxa" w:w="3175"/>
          </w:tcPr>
          <w:p>
            <w:pPr>
              <w:spacing w:after="60" w:before="60" w:line="252" w:lineRule="auto"/>
            </w:pPr>
            <w:r>
              <w:rPr>
                <w:rFonts w:ascii="Aptos" w:hAnsi="Aptos"/>
                <w:color w:val="303236"/>
                <w:sz w:val="18"/>
              </w:rPr>
              <w:t>Primary and balancing outcomes</w:t>
            </w:r>
          </w:p>
        </w:tc>
        <w:tc>
          <w:tcPr>
            <w:tcW w:type="dxa" w:w="6349"/>
          </w:tcPr>
          <w:p>
            <w:pPr>
              <w:spacing w:after="60" w:before="60" w:line="252" w:lineRule="auto"/>
            </w:pPr>
            <w:r>
              <w:rPr>
                <w:rFonts w:ascii="Aptos" w:hAnsi="Aptos"/>
                <w:color w:val="303236"/>
                <w:sz w:val="18"/>
              </w:rPr>
              <w:t>Define clinical, operational, quality, accreditation, workforce, economic, equity, trust, and safety outcomes.</w:t>
            </w:r>
          </w:p>
        </w:tc>
        <w:tc>
          <w:tcPr>
            <w:tcW w:type="dxa" w:w="4444"/>
          </w:tcPr>
          <w:p>
            <w:pPr>
              <w:spacing w:after="60" w:before="60" w:line="252" w:lineRule="auto"/>
            </w:pPr>
            <w:r>
              <w:rPr>
                <w:rFonts w:ascii="Aptos" w:hAnsi="Aptos"/>
                <w:color w:val="303236"/>
                <w:sz w:val="18"/>
              </w:rPr>
            </w:r>
          </w:p>
        </w:tc>
      </w:tr>
      <w:tr>
        <w:trPr>
          <w:cantSplit/>
        </w:trPr>
        <w:tc>
          <w:tcPr>
            <w:tcW w:type="dxa" w:w="3175"/>
            <w:shd w:fill="F5F0E7" w:val="clear"/>
          </w:tcPr>
          <w:p>
            <w:pPr>
              <w:spacing w:after="60" w:before="60" w:line="252" w:lineRule="auto"/>
            </w:pPr>
            <w:r>
              <w:rPr>
                <w:rFonts w:ascii="Aptos" w:hAnsi="Aptos"/>
                <w:color w:val="303236"/>
                <w:sz w:val="18"/>
              </w:rPr>
              <w:t>Time horizon and decision window</w:t>
            </w:r>
          </w:p>
        </w:tc>
        <w:tc>
          <w:tcPr>
            <w:tcW w:type="dxa" w:w="6349"/>
            <w:shd w:fill="F5F0E7" w:val="clear"/>
          </w:tcPr>
          <w:p>
            <w:pPr>
              <w:spacing w:after="60" w:before="60" w:line="252" w:lineRule="auto"/>
            </w:pPr>
            <w:r>
              <w:rPr>
                <w:rFonts w:ascii="Aptos" w:hAnsi="Aptos"/>
                <w:color w:val="303236"/>
                <w:sz w:val="18"/>
              </w:rPr>
              <w:t>State the analytic horizon and the time within which an output must lead to action.</w:t>
            </w:r>
          </w:p>
        </w:tc>
        <w:tc>
          <w:tcPr>
            <w:tcW w:type="dxa" w:w="4444"/>
            <w:shd w:fill="F5F0E7" w:val="clear"/>
          </w:tcPr>
          <w:p>
            <w:pPr>
              <w:spacing w:after="60" w:before="60" w:line="252" w:lineRule="auto"/>
            </w:pPr>
            <w:r>
              <w:rPr>
                <w:rFonts w:ascii="Aptos" w:hAnsi="Aptos"/>
                <w:color w:val="303236"/>
                <w:sz w:val="18"/>
              </w:rPr>
            </w:r>
          </w:p>
        </w:tc>
      </w:tr>
      <w:tr>
        <w:trPr>
          <w:cantSplit/>
        </w:trPr>
        <w:tc>
          <w:tcPr>
            <w:tcW w:type="dxa" w:w="3175"/>
          </w:tcPr>
          <w:p>
            <w:pPr>
              <w:spacing w:after="60" w:before="60" w:line="252" w:lineRule="auto"/>
            </w:pPr>
            <w:r>
              <w:rPr>
                <w:rFonts w:ascii="Aptos" w:hAnsi="Aptos"/>
                <w:color w:val="303236"/>
                <w:sz w:val="18"/>
              </w:rPr>
              <w:t>Value mechanism</w:t>
            </w:r>
          </w:p>
        </w:tc>
        <w:tc>
          <w:tcPr>
            <w:tcW w:type="dxa" w:w="6349"/>
          </w:tcPr>
          <w:p>
            <w:pPr>
              <w:spacing w:after="60" w:before="60" w:line="252" w:lineRule="auto"/>
            </w:pPr>
            <w:r>
              <w:rPr>
                <w:rFonts w:ascii="Aptos" w:hAnsi="Aptos"/>
                <w:color w:val="303236"/>
                <w:sz w:val="18"/>
              </w:rPr>
              <w:t>Explain how the intervention is expected to change a decision, action, outcome, resource consequence, and public value.</w:t>
            </w:r>
          </w:p>
        </w:tc>
        <w:tc>
          <w:tcPr>
            <w:tcW w:type="dxa" w:w="4444"/>
          </w:tcPr>
          <w:p>
            <w:pPr>
              <w:spacing w:after="60" w:before="60" w:line="252" w:lineRule="auto"/>
            </w:pPr>
            <w:r>
              <w:rPr>
                <w:rFonts w:ascii="Aptos" w:hAnsi="Aptos"/>
                <w:color w:val="303236"/>
                <w:sz w:val="18"/>
              </w:rPr>
            </w:r>
          </w:p>
        </w:tc>
      </w:tr>
      <w:tr>
        <w:trPr>
          <w:cantSplit/>
        </w:trPr>
        <w:tc>
          <w:tcPr>
            <w:tcW w:type="dxa" w:w="3175"/>
            <w:shd w:fill="F5F0E7" w:val="clear"/>
          </w:tcPr>
          <w:p>
            <w:pPr>
              <w:spacing w:after="60" w:before="60" w:line="252" w:lineRule="auto"/>
            </w:pPr>
            <w:r>
              <w:rPr>
                <w:rFonts w:ascii="Aptos" w:hAnsi="Aptos"/>
                <w:color w:val="303236"/>
                <w:sz w:val="18"/>
              </w:rPr>
              <w:t>Decision rule</w:t>
            </w:r>
          </w:p>
        </w:tc>
        <w:tc>
          <w:tcPr>
            <w:tcW w:type="dxa" w:w="6349"/>
            <w:shd w:fill="F5F0E7" w:val="clear"/>
          </w:tcPr>
          <w:p>
            <w:pPr>
              <w:spacing w:after="60" w:before="60" w:line="252" w:lineRule="auto"/>
            </w:pPr>
            <w:r>
              <w:rPr>
                <w:rFonts w:ascii="Aptos" w:hAnsi="Aptos"/>
                <w:color w:val="303236"/>
                <w:sz w:val="18"/>
              </w:rPr>
              <w:t>Define proceed, redesign, silent validation, pilot, conditional adoption, scale, restrict, pause, replace, or retire criteria.</w:t>
            </w:r>
          </w:p>
        </w:tc>
        <w:tc>
          <w:tcPr>
            <w:tcW w:type="dxa" w:w="4444"/>
            <w:shd w:fill="F5F0E7" w:val="clear"/>
          </w:tcPr>
          <w:p>
            <w:pPr>
              <w:spacing w:after="60" w:before="60" w:line="252" w:lineRule="auto"/>
            </w:pPr>
            <w:r>
              <w:rPr>
                <w:rFonts w:ascii="Aptos" w:hAnsi="Aptos"/>
                <w:color w:val="303236"/>
                <w:sz w:val="18"/>
              </w:rPr>
            </w:r>
          </w:p>
        </w:tc>
      </w:tr>
      <w:tr>
        <w:trPr>
          <w:cantSplit/>
        </w:trPr>
        <w:tc>
          <w:tcPr>
            <w:tcW w:type="dxa" w:w="3175"/>
          </w:tcPr>
          <w:p>
            <w:pPr>
              <w:spacing w:after="60" w:before="60" w:line="252" w:lineRule="auto"/>
            </w:pPr>
            <w:r>
              <w:rPr>
                <w:rFonts w:ascii="Aptos" w:hAnsi="Aptos"/>
                <w:color w:val="303236"/>
                <w:sz w:val="18"/>
              </w:rPr>
              <w:t>Evidence cut-off and next review</w:t>
            </w:r>
          </w:p>
        </w:tc>
        <w:tc>
          <w:tcPr>
            <w:tcW w:type="dxa" w:w="6349"/>
          </w:tcPr>
          <w:p>
            <w:pPr>
              <w:spacing w:after="60" w:before="60" w:line="252" w:lineRule="auto"/>
            </w:pPr>
            <w:r>
              <w:rPr>
                <w:rFonts w:ascii="Aptos" w:hAnsi="Aptos"/>
                <w:color w:val="303236"/>
                <w:sz w:val="18"/>
              </w:rPr>
              <w:t>Record the last evidence date, responsible reviewer, planned review date, and trigger events.</w:t>
            </w:r>
          </w:p>
        </w:tc>
        <w:tc>
          <w:tcPr>
            <w:tcW w:type="dxa" w:w="4444"/>
          </w:tcPr>
          <w:p>
            <w:pPr>
              <w:spacing w:after="60" w:before="60" w:line="252" w:lineRule="auto"/>
            </w:pPr>
            <w:r>
              <w:rPr>
                <w:rFonts w:ascii="Aptos" w:hAnsi="Aptos"/>
                <w:color w:val="303236"/>
                <w:sz w:val="18"/>
              </w:rPr>
            </w:r>
          </w:p>
        </w:tc>
      </w:tr>
    </w:tbl>
    <w:p>
      <w:r>
        <w:rPr>
          <w:rFonts w:ascii="Aptos" w:hAnsi="Aptos"/>
          <w:sz w:val="16"/>
        </w:rPr>
        <w:t>Local record control: owner __________________  evidence cut-off __________  next review __________  local version __________</w:t>
      </w:r>
    </w:p>
    <w:p>
      <w:pPr>
        <w:pageBreakBefore/>
        <w:spacing w:after="80"/>
      </w:pPr>
      <w:r>
        <w:rPr>
          <w:rFonts w:ascii="Aptos" w:hAnsi="Aptos"/>
          <w:color w:val="877567"/>
          <w:sz w:val="18"/>
        </w:rPr>
        <w:t>Part I — Managerial and Economic Foundations</w:t>
      </w:r>
    </w:p>
    <w:p>
      <w:pPr>
        <w:pStyle w:val="Heading1"/>
      </w:pPr>
      <w:r>
        <w:t>AIHE-A02 — Stakeholders, Decision Rights, and Participation</w:t>
      </w:r>
    </w:p>
    <w:p>
      <w:pPr>
        <w:spacing w:after="80"/>
      </w:pPr>
      <w:r>
        <w:rPr>
          <w:color w:val="877567"/>
          <w:sz w:val="20"/>
        </w:rPr>
        <w:t>Chapter 1: AI as a Health System Intervention</w:t>
      </w:r>
    </w:p>
    <w:p>
      <w:r>
        <w:t>Identify affected parties, decision rights, participation duties, evidence contributions, and escalation authority.</w:t>
      </w:r>
    </w:p>
    <w:p>
      <w:r>
        <w:rPr>
          <w:rFonts w:ascii="Aptos" w:hAnsi="Aptos"/>
          <w:sz w:val="17"/>
        </w:rPr>
        <w:t>Resource: AIHE-A02  |  V1.0  |  Aligned chapters: 1, 3, 10, 12</w:t>
      </w:r>
    </w:p>
    <w:p>
      <w:r>
        <w:t>Complete the record with the people who own the evidence, workflow, budget, safeguards, and follow-up action. Distinguish documented evidence from assumptions and planned evidence collection. Record the exact intervention and version, accountable owner, decision conditions, evidence cut-off, review date, and trigger events.</w:t>
      </w:r>
    </w:p>
    <w:tbl>
      <w:tblPr>
        <w:tblW w:type="auto" w:w="0"/>
        <w:tblLayout w:type="fixed"/>
        <w:tblLook w:firstColumn="1" w:firstRow="1" w:lastColumn="0" w:lastRow="0" w:noHBand="0" w:noVBand="1" w:val="04A0"/>
        <w:tblBorders>
          <w:top w:val="single" w:sz="4" w:color="D9D0C2"/>
          <w:left w:val="single" w:sz="4" w:color="D9D0C2"/>
          <w:bottom w:val="single" w:sz="4" w:color="D9D0C2"/>
          <w:right w:val="single" w:sz="4" w:color="D9D0C2"/>
          <w:insideH w:val="single" w:sz="4" w:color="D9D0C2"/>
          <w:insideV w:val="single" w:sz="4" w:color="D9D0C2"/>
        </w:tblBorders>
        <w:tblCellMar>
          <w:top w:w="80" w:type="dxa"/>
          <w:left w:w="80" w:type="dxa"/>
          <w:bottom w:w="80" w:type="dxa"/>
          <w:right w:w="80" w:type="dxa"/>
        </w:tblCellMar>
      </w:tblPr>
      <w:tblGrid>
        <w:gridCol w:w="2818"/>
        <w:gridCol w:w="4411"/>
        <w:gridCol w:w="2451"/>
        <w:gridCol w:w="4288"/>
      </w:tblGrid>
      <w:tr>
        <w:trPr>
          <w:tblHeader/>
          <w:cantSplit/>
        </w:trPr>
        <w:tc>
          <w:tcPr>
            <w:tcW w:type="dxa" w:w="2818"/>
            <w:shd w:fill="6B2230" w:val="clear"/>
          </w:tcPr>
          <w:p>
            <w:pPr>
              <w:spacing w:after="60" w:before="60"/>
            </w:pPr>
            <w:r>
              <w:rPr>
                <w:rFonts w:ascii="Aptos" w:hAnsi="Aptos"/>
                <w:b/>
                <w:color w:val="FFFFFF"/>
                <w:sz w:val="18"/>
              </w:rPr>
              <w:t>Role or group</w:t>
            </w:r>
          </w:p>
        </w:tc>
        <w:tc>
          <w:tcPr>
            <w:tcW w:type="dxa" w:w="4411"/>
            <w:shd w:fill="6B2230" w:val="clear"/>
          </w:tcPr>
          <w:p>
            <w:pPr>
              <w:spacing w:after="60" w:before="60"/>
            </w:pPr>
            <w:r>
              <w:rPr>
                <w:rFonts w:ascii="Aptos" w:hAnsi="Aptos"/>
                <w:b/>
                <w:color w:val="FFFFFF"/>
                <w:sz w:val="18"/>
              </w:rPr>
              <w:t>Interest or potential effect</w:t>
            </w:r>
          </w:p>
        </w:tc>
        <w:tc>
          <w:tcPr>
            <w:tcW w:type="dxa" w:w="2451"/>
            <w:shd w:fill="6B2230" w:val="clear"/>
          </w:tcPr>
          <w:p>
            <w:pPr>
              <w:spacing w:after="60" w:before="60"/>
            </w:pPr>
            <w:r>
              <w:rPr>
                <w:rFonts w:ascii="Aptos" w:hAnsi="Aptos"/>
                <w:b/>
                <w:color w:val="FFFFFF"/>
                <w:sz w:val="18"/>
              </w:rPr>
              <w:t>Decision duty</w:t>
            </w:r>
          </w:p>
        </w:tc>
        <w:tc>
          <w:tcPr>
            <w:tcW w:type="dxa" w:w="4288"/>
            <w:shd w:fill="6B2230" w:val="clear"/>
          </w:tcPr>
          <w:p>
            <w:pPr>
              <w:spacing w:after="60" w:before="60"/>
            </w:pPr>
            <w:r>
              <w:rPr>
                <w:rFonts w:ascii="Aptos" w:hAnsi="Aptos"/>
                <w:b/>
                <w:color w:val="FFFFFF"/>
                <w:sz w:val="18"/>
              </w:rPr>
              <w:t>Participation, evidence, or action required</w:t>
            </w:r>
          </w:p>
        </w:tc>
      </w:tr>
      <w:tr>
        <w:trPr>
          <w:cantSplit/>
        </w:trPr>
        <w:tc>
          <w:tcPr>
            <w:tcW w:type="dxa" w:w="2818"/>
            <w:shd w:fill="F5F0E7" w:val="clear"/>
          </w:tcPr>
          <w:p>
            <w:pPr>
              <w:spacing w:after="60" w:before="60" w:line="252" w:lineRule="auto"/>
            </w:pPr>
            <w:r>
              <w:rPr>
                <w:rFonts w:ascii="Aptos" w:hAnsi="Aptos"/>
                <w:color w:val="303236"/>
                <w:sz w:val="18"/>
              </w:rPr>
              <w:t>Board or executive sponsor</w:t>
            </w:r>
          </w:p>
        </w:tc>
        <w:tc>
          <w:tcPr>
            <w:tcW w:type="dxa" w:w="4411"/>
            <w:shd w:fill="F5F0E7" w:val="clear"/>
          </w:tcPr>
          <w:p>
            <w:pPr>
              <w:spacing w:after="60" w:before="60" w:line="252" w:lineRule="auto"/>
            </w:pPr>
            <w:r>
              <w:rPr>
                <w:rFonts w:ascii="Aptos" w:hAnsi="Aptos"/>
                <w:color w:val="303236"/>
                <w:sz w:val="18"/>
              </w:rPr>
              <w:t>Strategy, public accountability, resources, and risk appetite</w:t>
            </w:r>
          </w:p>
        </w:tc>
        <w:tc>
          <w:tcPr>
            <w:tcW w:type="dxa" w:w="2451"/>
            <w:shd w:fill="F5F0E7" w:val="clear"/>
          </w:tcPr>
          <w:p>
            <w:pPr>
              <w:spacing w:after="60" w:before="60" w:line="252" w:lineRule="auto"/>
            </w:pPr>
            <w:r>
              <w:rPr>
                <w:rFonts w:ascii="Aptos" w:hAnsi="Aptos"/>
                <w:color w:val="303236"/>
                <w:sz w:val="18"/>
              </w:rPr>
              <w:t>Approve material commitment and named accountability</w:t>
            </w:r>
          </w:p>
        </w:tc>
        <w:tc>
          <w:tcPr>
            <w:tcW w:type="dxa" w:w="4288"/>
            <w:shd w:fill="F5F0E7" w:val="clear"/>
          </w:tcPr>
          <w:p>
            <w:pPr>
              <w:spacing w:after="60" w:before="60" w:line="252" w:lineRule="auto"/>
            </w:pPr>
            <w:r>
              <w:rPr>
                <w:rFonts w:ascii="Aptos" w:hAnsi="Aptos"/>
                <w:color w:val="303236"/>
                <w:sz w:val="18"/>
              </w:rPr>
            </w:r>
          </w:p>
        </w:tc>
      </w:tr>
      <w:tr>
        <w:trPr>
          <w:cantSplit/>
        </w:trPr>
        <w:tc>
          <w:tcPr>
            <w:tcW w:type="dxa" w:w="2818"/>
          </w:tcPr>
          <w:p>
            <w:pPr>
              <w:spacing w:after="60" w:before="60" w:line="252" w:lineRule="auto"/>
            </w:pPr>
            <w:r>
              <w:rPr>
                <w:rFonts w:ascii="Aptos" w:hAnsi="Aptos"/>
                <w:color w:val="303236"/>
                <w:sz w:val="18"/>
              </w:rPr>
              <w:t>Clinical and operational leads</w:t>
            </w:r>
          </w:p>
        </w:tc>
        <w:tc>
          <w:tcPr>
            <w:tcW w:type="dxa" w:w="4411"/>
          </w:tcPr>
          <w:p>
            <w:pPr>
              <w:spacing w:after="60" w:before="60" w:line="252" w:lineRule="auto"/>
            </w:pPr>
            <w:r>
              <w:rPr>
                <w:rFonts w:ascii="Aptos" w:hAnsi="Aptos"/>
                <w:color w:val="303236"/>
                <w:sz w:val="18"/>
              </w:rPr>
              <w:t>Safety, workflow, professional practice, and service capacity</w:t>
            </w:r>
          </w:p>
        </w:tc>
        <w:tc>
          <w:tcPr>
            <w:tcW w:type="dxa" w:w="2451"/>
          </w:tcPr>
          <w:p>
            <w:pPr>
              <w:spacing w:after="60" w:before="60" w:line="252" w:lineRule="auto"/>
            </w:pPr>
            <w:r>
              <w:rPr>
                <w:rFonts w:ascii="Aptos" w:hAnsi="Aptos"/>
                <w:color w:val="303236"/>
                <w:sz w:val="18"/>
              </w:rPr>
              <w:t>Specify intended use, action, fallback, and clinical acceptance</w:t>
            </w:r>
          </w:p>
        </w:tc>
        <w:tc>
          <w:tcPr>
            <w:tcW w:type="dxa" w:w="4288"/>
          </w:tcPr>
          <w:p>
            <w:pPr>
              <w:spacing w:after="60" w:before="60" w:line="252" w:lineRule="auto"/>
            </w:pPr>
            <w:r>
              <w:rPr>
                <w:rFonts w:ascii="Aptos" w:hAnsi="Aptos"/>
                <w:color w:val="303236"/>
                <w:sz w:val="18"/>
              </w:rPr>
            </w:r>
          </w:p>
        </w:tc>
      </w:tr>
      <w:tr>
        <w:trPr>
          <w:cantSplit/>
        </w:trPr>
        <w:tc>
          <w:tcPr>
            <w:tcW w:type="dxa" w:w="2818"/>
            <w:shd w:fill="F5F0E7" w:val="clear"/>
          </w:tcPr>
          <w:p>
            <w:pPr>
              <w:spacing w:after="60" w:before="60" w:line="252" w:lineRule="auto"/>
            </w:pPr>
            <w:r>
              <w:rPr>
                <w:rFonts w:ascii="Aptos" w:hAnsi="Aptos"/>
                <w:color w:val="303236"/>
                <w:sz w:val="18"/>
              </w:rPr>
              <w:t>Quality and accreditation leads</w:t>
            </w:r>
          </w:p>
        </w:tc>
        <w:tc>
          <w:tcPr>
            <w:tcW w:type="dxa" w:w="4411"/>
            <w:shd w:fill="F5F0E7" w:val="clear"/>
          </w:tcPr>
          <w:p>
            <w:pPr>
              <w:spacing w:after="60" w:before="60" w:line="252" w:lineRule="auto"/>
            </w:pPr>
            <w:r>
              <w:rPr>
                <w:rFonts w:ascii="Aptos" w:hAnsi="Aptos"/>
                <w:color w:val="303236"/>
                <w:sz w:val="18"/>
              </w:rPr>
              <w:t>Standards, controls, evidence, incidents, and improvement</w:t>
            </w:r>
          </w:p>
        </w:tc>
        <w:tc>
          <w:tcPr>
            <w:tcW w:type="dxa" w:w="2451"/>
            <w:shd w:fill="F5F0E7" w:val="clear"/>
          </w:tcPr>
          <w:p>
            <w:pPr>
              <w:spacing w:after="60" w:before="60" w:line="252" w:lineRule="auto"/>
            </w:pPr>
            <w:r>
              <w:rPr>
                <w:rFonts w:ascii="Aptos" w:hAnsi="Aptos"/>
                <w:color w:val="303236"/>
                <w:sz w:val="18"/>
              </w:rPr>
              <w:t>Integrate the intervention into quality-management and accreditation processes</w:t>
            </w:r>
          </w:p>
        </w:tc>
        <w:tc>
          <w:tcPr>
            <w:tcW w:type="dxa" w:w="4288"/>
            <w:shd w:fill="F5F0E7" w:val="clear"/>
          </w:tcPr>
          <w:p>
            <w:pPr>
              <w:spacing w:after="60" w:before="60" w:line="252" w:lineRule="auto"/>
            </w:pPr>
            <w:r>
              <w:rPr>
                <w:rFonts w:ascii="Aptos" w:hAnsi="Aptos"/>
                <w:color w:val="303236"/>
                <w:sz w:val="18"/>
              </w:rPr>
            </w:r>
          </w:p>
        </w:tc>
      </w:tr>
      <w:tr>
        <w:trPr>
          <w:cantSplit/>
        </w:trPr>
        <w:tc>
          <w:tcPr>
            <w:tcW w:type="dxa" w:w="2818"/>
          </w:tcPr>
          <w:p>
            <w:pPr>
              <w:spacing w:after="60" w:before="60" w:line="252" w:lineRule="auto"/>
            </w:pPr>
            <w:r>
              <w:rPr>
                <w:rFonts w:ascii="Aptos" w:hAnsi="Aptos"/>
                <w:color w:val="303236"/>
                <w:sz w:val="18"/>
              </w:rPr>
              <w:t>Health economics, finance, payer, or HTA</w:t>
            </w:r>
          </w:p>
        </w:tc>
        <w:tc>
          <w:tcPr>
            <w:tcW w:type="dxa" w:w="4411"/>
          </w:tcPr>
          <w:p>
            <w:pPr>
              <w:spacing w:after="60" w:before="60" w:line="252" w:lineRule="auto"/>
            </w:pPr>
            <w:r>
              <w:rPr>
                <w:rFonts w:ascii="Aptos" w:hAnsi="Aptos"/>
                <w:color w:val="303236"/>
                <w:sz w:val="18"/>
              </w:rPr>
              <w:t>Cost, outcomes, affordability, opportunity cost, reimbursement, and value</w:t>
            </w:r>
          </w:p>
        </w:tc>
        <w:tc>
          <w:tcPr>
            <w:tcW w:type="dxa" w:w="2451"/>
          </w:tcPr>
          <w:p>
            <w:pPr>
              <w:spacing w:after="60" w:before="60" w:line="252" w:lineRule="auto"/>
            </w:pPr>
            <w:r>
              <w:rPr>
                <w:rFonts w:ascii="Aptos" w:hAnsi="Aptos"/>
                <w:color w:val="303236"/>
                <w:sz w:val="18"/>
              </w:rPr>
              <w:t>Approve economic methods, assumptions, and budget consequences</w:t>
            </w:r>
          </w:p>
        </w:tc>
        <w:tc>
          <w:tcPr>
            <w:tcW w:type="dxa" w:w="4288"/>
          </w:tcPr>
          <w:p>
            <w:pPr>
              <w:spacing w:after="60" w:before="60" w:line="252" w:lineRule="auto"/>
            </w:pPr>
            <w:r>
              <w:rPr>
                <w:rFonts w:ascii="Aptos" w:hAnsi="Aptos"/>
                <w:color w:val="303236"/>
                <w:sz w:val="18"/>
              </w:rPr>
            </w:r>
          </w:p>
        </w:tc>
      </w:tr>
      <w:tr>
        <w:trPr>
          <w:cantSplit/>
        </w:trPr>
        <w:tc>
          <w:tcPr>
            <w:tcW w:type="dxa" w:w="2818"/>
            <w:shd w:fill="F5F0E7" w:val="clear"/>
          </w:tcPr>
          <w:p>
            <w:pPr>
              <w:spacing w:after="60" w:before="60" w:line="252" w:lineRule="auto"/>
            </w:pPr>
            <w:r>
              <w:rPr>
                <w:rFonts w:ascii="Aptos" w:hAnsi="Aptos"/>
                <w:color w:val="303236"/>
                <w:sz w:val="18"/>
              </w:rPr>
              <w:t>Data, informatics, IT, and cybersecurity</w:t>
            </w:r>
          </w:p>
        </w:tc>
        <w:tc>
          <w:tcPr>
            <w:tcW w:type="dxa" w:w="4411"/>
            <w:shd w:fill="F5F0E7" w:val="clear"/>
          </w:tcPr>
          <w:p>
            <w:pPr>
              <w:spacing w:after="60" w:before="60" w:line="252" w:lineRule="auto"/>
            </w:pPr>
            <w:r>
              <w:rPr>
                <w:rFonts w:ascii="Aptos" w:hAnsi="Aptos"/>
                <w:color w:val="303236"/>
                <w:sz w:val="18"/>
              </w:rPr>
              <w:t>Data fitness, interoperability, architecture, security, resilience, and monitoring</w:t>
            </w:r>
          </w:p>
        </w:tc>
        <w:tc>
          <w:tcPr>
            <w:tcW w:type="dxa" w:w="2451"/>
            <w:shd w:fill="F5F0E7" w:val="clear"/>
          </w:tcPr>
          <w:p>
            <w:pPr>
              <w:spacing w:after="60" w:before="60" w:line="252" w:lineRule="auto"/>
            </w:pPr>
            <w:r>
              <w:rPr>
                <w:rFonts w:ascii="Aptos" w:hAnsi="Aptos"/>
                <w:color w:val="303236"/>
                <w:sz w:val="18"/>
              </w:rPr>
              <w:t>Verify technical readiness and continuing operability</w:t>
            </w:r>
          </w:p>
        </w:tc>
        <w:tc>
          <w:tcPr>
            <w:tcW w:type="dxa" w:w="4288"/>
            <w:shd w:fill="F5F0E7" w:val="clear"/>
          </w:tcPr>
          <w:p>
            <w:pPr>
              <w:spacing w:after="60" w:before="60" w:line="252" w:lineRule="auto"/>
            </w:pPr>
            <w:r>
              <w:rPr>
                <w:rFonts w:ascii="Aptos" w:hAnsi="Aptos"/>
                <w:color w:val="303236"/>
                <w:sz w:val="18"/>
              </w:rPr>
            </w:r>
          </w:p>
        </w:tc>
      </w:tr>
      <w:tr>
        <w:trPr>
          <w:cantSplit/>
        </w:trPr>
        <w:tc>
          <w:tcPr>
            <w:tcW w:type="dxa" w:w="2818"/>
          </w:tcPr>
          <w:p>
            <w:pPr>
              <w:spacing w:after="60" w:before="60" w:line="252" w:lineRule="auto"/>
            </w:pPr>
            <w:r>
              <w:rPr>
                <w:rFonts w:ascii="Aptos" w:hAnsi="Aptos"/>
                <w:color w:val="303236"/>
                <w:sz w:val="18"/>
              </w:rPr>
              <w:t>Ethics, privacy, legal, and compliance</w:t>
            </w:r>
          </w:p>
        </w:tc>
        <w:tc>
          <w:tcPr>
            <w:tcW w:type="dxa" w:w="4411"/>
          </w:tcPr>
          <w:p>
            <w:pPr>
              <w:spacing w:after="60" w:before="60" w:line="252" w:lineRule="auto"/>
            </w:pPr>
            <w:r>
              <w:rPr>
                <w:rFonts w:ascii="Aptos" w:hAnsi="Aptos"/>
                <w:color w:val="303236"/>
                <w:sz w:val="18"/>
              </w:rPr>
              <w:t>Rights, lawful use, fairness, contestability, and obligations</w:t>
            </w:r>
          </w:p>
        </w:tc>
        <w:tc>
          <w:tcPr>
            <w:tcW w:type="dxa" w:w="2451"/>
          </w:tcPr>
          <w:p>
            <w:pPr>
              <w:spacing w:after="60" w:before="60" w:line="252" w:lineRule="auto"/>
            </w:pPr>
            <w:r>
              <w:rPr>
                <w:rFonts w:ascii="Aptos" w:hAnsi="Aptos"/>
                <w:color w:val="303236"/>
                <w:sz w:val="18"/>
              </w:rPr>
              <w:t>Define mandatory safeguards and unresolved legal or ethical conditions</w:t>
            </w:r>
          </w:p>
        </w:tc>
        <w:tc>
          <w:tcPr>
            <w:tcW w:type="dxa" w:w="4288"/>
          </w:tcPr>
          <w:p>
            <w:pPr>
              <w:spacing w:after="60" w:before="60" w:line="252" w:lineRule="auto"/>
            </w:pPr>
            <w:r>
              <w:rPr>
                <w:rFonts w:ascii="Aptos" w:hAnsi="Aptos"/>
                <w:color w:val="303236"/>
                <w:sz w:val="18"/>
              </w:rPr>
            </w:r>
          </w:p>
        </w:tc>
      </w:tr>
      <w:tr>
        <w:trPr>
          <w:cantSplit/>
        </w:trPr>
        <w:tc>
          <w:tcPr>
            <w:tcW w:type="dxa" w:w="2818"/>
            <w:shd w:fill="F5F0E7" w:val="clear"/>
          </w:tcPr>
          <w:p>
            <w:pPr>
              <w:spacing w:after="60" w:before="60" w:line="252" w:lineRule="auto"/>
            </w:pPr>
            <w:r>
              <w:rPr>
                <w:rFonts w:ascii="Aptos" w:hAnsi="Aptos"/>
                <w:color w:val="303236"/>
                <w:sz w:val="18"/>
              </w:rPr>
              <w:t>Procurement and contract management</w:t>
            </w:r>
          </w:p>
        </w:tc>
        <w:tc>
          <w:tcPr>
            <w:tcW w:type="dxa" w:w="4411"/>
            <w:shd w:fill="F5F0E7" w:val="clear"/>
          </w:tcPr>
          <w:p>
            <w:pPr>
              <w:spacing w:after="60" w:before="60" w:line="252" w:lineRule="auto"/>
            </w:pPr>
            <w:r>
              <w:rPr>
                <w:rFonts w:ascii="Aptos" w:hAnsi="Aptos"/>
                <w:color w:val="303236"/>
                <w:sz w:val="18"/>
              </w:rPr>
              <w:t>Evidence, price, service levels, updates, remedies, portability, and exit</w:t>
            </w:r>
          </w:p>
        </w:tc>
        <w:tc>
          <w:tcPr>
            <w:tcW w:type="dxa" w:w="2451"/>
            <w:shd w:fill="F5F0E7" w:val="clear"/>
          </w:tcPr>
          <w:p>
            <w:pPr>
              <w:spacing w:after="60" w:before="60" w:line="252" w:lineRule="auto"/>
            </w:pPr>
            <w:r>
              <w:rPr>
                <w:rFonts w:ascii="Aptos" w:hAnsi="Aptos"/>
                <w:color w:val="303236"/>
                <w:sz w:val="18"/>
              </w:rPr>
              <w:t>Translate requirements into enforceable terms</w:t>
            </w:r>
          </w:p>
        </w:tc>
        <w:tc>
          <w:tcPr>
            <w:tcW w:type="dxa" w:w="4288"/>
            <w:shd w:fill="F5F0E7" w:val="clear"/>
          </w:tcPr>
          <w:p>
            <w:pPr>
              <w:spacing w:after="60" w:before="60" w:line="252" w:lineRule="auto"/>
            </w:pPr>
            <w:r>
              <w:rPr>
                <w:rFonts w:ascii="Aptos" w:hAnsi="Aptos"/>
                <w:color w:val="303236"/>
                <w:sz w:val="18"/>
              </w:rPr>
            </w:r>
          </w:p>
        </w:tc>
      </w:tr>
      <w:tr>
        <w:trPr>
          <w:cantSplit/>
        </w:trPr>
        <w:tc>
          <w:tcPr>
            <w:tcW w:type="dxa" w:w="2818"/>
          </w:tcPr>
          <w:p>
            <w:pPr>
              <w:spacing w:after="60" w:before="60" w:line="252" w:lineRule="auto"/>
            </w:pPr>
            <w:r>
              <w:rPr>
                <w:rFonts w:ascii="Aptos" w:hAnsi="Aptos"/>
                <w:color w:val="303236"/>
                <w:sz w:val="18"/>
              </w:rPr>
              <w:t>Patients, public, and workforce representatives</w:t>
            </w:r>
          </w:p>
        </w:tc>
        <w:tc>
          <w:tcPr>
            <w:tcW w:type="dxa" w:w="4411"/>
          </w:tcPr>
          <w:p>
            <w:pPr>
              <w:spacing w:after="60" w:before="60" w:line="252" w:lineRule="auto"/>
            </w:pPr>
            <w:r>
              <w:rPr>
                <w:rFonts w:ascii="Aptos" w:hAnsi="Aptos"/>
                <w:color w:val="303236"/>
                <w:sz w:val="18"/>
              </w:rPr>
              <w:t>Access, experience, acceptability, trust, burden, and group effects</w:t>
            </w:r>
          </w:p>
        </w:tc>
        <w:tc>
          <w:tcPr>
            <w:tcW w:type="dxa" w:w="2451"/>
          </w:tcPr>
          <w:p>
            <w:pPr>
              <w:spacing w:after="60" w:before="60" w:line="252" w:lineRule="auto"/>
            </w:pPr>
            <w:r>
              <w:rPr>
                <w:rFonts w:ascii="Aptos" w:hAnsi="Aptos"/>
                <w:color w:val="303236"/>
                <w:sz w:val="18"/>
              </w:rPr>
              <w:t>Contribute priorities, communication requirements, and challenge</w:t>
            </w:r>
          </w:p>
        </w:tc>
        <w:tc>
          <w:tcPr>
            <w:tcW w:type="dxa" w:w="4288"/>
          </w:tcPr>
          <w:p>
            <w:pPr>
              <w:spacing w:after="60" w:before="60" w:line="252" w:lineRule="auto"/>
            </w:pPr>
            <w:r>
              <w:rPr>
                <w:rFonts w:ascii="Aptos" w:hAnsi="Aptos"/>
                <w:color w:val="303236"/>
                <w:sz w:val="18"/>
              </w:rPr>
            </w:r>
          </w:p>
        </w:tc>
      </w:tr>
    </w:tbl>
    <w:p>
      <w:r>
        <w:rPr>
          <w:rFonts w:ascii="Aptos" w:hAnsi="Aptos"/>
          <w:sz w:val="16"/>
        </w:rPr>
        <w:t>Local record control: owner __________________  evidence cut-off __________  next review __________  local version __________</w:t>
      </w:r>
    </w:p>
    <w:p>
      <w:pPr>
        <w:pageBreakBefore/>
        <w:spacing w:after="80"/>
      </w:pPr>
      <w:r>
        <w:rPr>
          <w:rFonts w:ascii="Aptos" w:hAnsi="Aptos"/>
          <w:color w:val="877567"/>
          <w:sz w:val="18"/>
        </w:rPr>
        <w:t>Part I — Managerial and Economic Foundations</w:t>
      </w:r>
    </w:p>
    <w:p>
      <w:pPr>
        <w:pStyle w:val="Heading1"/>
      </w:pPr>
      <w:r>
        <w:t>AIHE-A03 — Institutional Readiness Assessment</w:t>
      </w:r>
    </w:p>
    <w:p>
      <w:pPr>
        <w:spacing w:after="80"/>
      </w:pPr>
      <w:r>
        <w:rPr>
          <w:color w:val="877567"/>
          <w:sz w:val="20"/>
        </w:rPr>
        <w:t>Chapter 2: Institutional Readiness and Digital Foundations</w:t>
      </w:r>
    </w:p>
    <w:p>
      <w:r>
        <w:t>Assess strategic, data, infrastructure, workflow, workforce, quality, economic, governance, procurement, and continuing support readiness.</w:t>
      </w:r>
    </w:p>
    <w:p>
      <w:r>
        <w:rPr>
          <w:rFonts w:ascii="Aptos" w:hAnsi="Aptos"/>
          <w:sz w:val="17"/>
        </w:rPr>
        <w:t>Resource: AIHE-A03  |  V1.0  |  Aligned chapters: 2, 4, 5, 9, 10, 12</w:t>
      </w:r>
    </w:p>
    <w:p>
      <w:r>
        <w:t>Assess each domain separately as Ready, Remediation required, Uncertain, or Not applicable, supported by evidence and a named owner. Do not infer overall readiness from an average or allow a favourable finding to offset a mandatory safeguard.</w:t>
      </w:r>
    </w:p>
    <w:tbl>
      <w:tblPr>
        <w:tblW w:type="auto" w:w="0"/>
        <w:tblLayout w:type="fixed"/>
        <w:tblLook w:firstColumn="1" w:firstRow="1" w:lastColumn="0" w:lastRow="0" w:noHBand="0" w:noVBand="1" w:val="04A0"/>
        <w:tblBorders>
          <w:top w:val="single" w:sz="4" w:color="D9D0C2"/>
          <w:left w:val="single" w:sz="4" w:color="D9D0C2"/>
          <w:bottom w:val="single" w:sz="4" w:color="D9D0C2"/>
          <w:right w:val="single" w:sz="4" w:color="D9D0C2"/>
          <w:insideH w:val="single" w:sz="4" w:color="D9D0C2"/>
          <w:insideV w:val="single" w:sz="4" w:color="D9D0C2"/>
        </w:tblBorders>
        <w:tblCellMar>
          <w:top w:w="80" w:type="dxa"/>
          <w:left w:w="80" w:type="dxa"/>
          <w:bottom w:w="80" w:type="dxa"/>
          <w:right w:w="80" w:type="dxa"/>
        </w:tblCellMar>
      </w:tblPr>
      <w:tblGrid>
        <w:gridCol w:w="2818"/>
        <w:gridCol w:w="4411"/>
        <w:gridCol w:w="2451"/>
        <w:gridCol w:w="4288"/>
      </w:tblGrid>
      <w:tr>
        <w:trPr>
          <w:tblHeader/>
          <w:cantSplit/>
        </w:trPr>
        <w:tc>
          <w:tcPr>
            <w:tcW w:type="dxa" w:w="2818"/>
            <w:shd w:fill="6B2230" w:val="clear"/>
          </w:tcPr>
          <w:p>
            <w:pPr>
              <w:spacing w:after="60" w:before="60"/>
            </w:pPr>
            <w:r>
              <w:rPr>
                <w:rFonts w:ascii="Aptos" w:hAnsi="Aptos"/>
                <w:b/>
                <w:color w:val="FFFFFF"/>
                <w:sz w:val="18"/>
              </w:rPr>
              <w:t>Domain</w:t>
            </w:r>
          </w:p>
        </w:tc>
        <w:tc>
          <w:tcPr>
            <w:tcW w:type="dxa" w:w="4411"/>
            <w:shd w:fill="6B2230" w:val="clear"/>
          </w:tcPr>
          <w:p>
            <w:pPr>
              <w:spacing w:after="60" w:before="60"/>
            </w:pPr>
            <w:r>
              <w:rPr>
                <w:rFonts w:ascii="Aptos" w:hAnsi="Aptos"/>
                <w:b/>
                <w:color w:val="FFFFFF"/>
                <w:sz w:val="18"/>
              </w:rPr>
              <w:t>Assessment question</w:t>
            </w:r>
          </w:p>
        </w:tc>
        <w:tc>
          <w:tcPr>
            <w:tcW w:type="dxa" w:w="2451"/>
            <w:shd w:fill="6B2230" w:val="clear"/>
          </w:tcPr>
          <w:p>
            <w:pPr>
              <w:spacing w:after="60" w:before="60"/>
            </w:pPr>
            <w:r>
              <w:rPr>
                <w:rFonts w:ascii="Aptos" w:hAnsi="Aptos"/>
                <w:b/>
                <w:color w:val="FFFFFF"/>
                <w:sz w:val="18"/>
              </w:rPr>
              <w:t>Status</w:t>
            </w:r>
          </w:p>
        </w:tc>
        <w:tc>
          <w:tcPr>
            <w:tcW w:type="dxa" w:w="4288"/>
            <w:shd w:fill="6B2230" w:val="clear"/>
          </w:tcPr>
          <w:p>
            <w:pPr>
              <w:spacing w:after="60" w:before="60"/>
            </w:pPr>
            <w:r>
              <w:rPr>
                <w:rFonts w:ascii="Aptos" w:hAnsi="Aptos"/>
                <w:b/>
                <w:color w:val="FFFFFF"/>
                <w:sz w:val="18"/>
              </w:rPr>
              <w:t>Evidence, gap, prerequisite, and owner</w:t>
            </w:r>
          </w:p>
        </w:tc>
      </w:tr>
      <w:tr>
        <w:trPr>
          <w:cantSplit/>
        </w:trPr>
        <w:tc>
          <w:tcPr>
            <w:tcW w:type="dxa" w:w="2818"/>
            <w:shd w:fill="F5F0E7" w:val="clear"/>
          </w:tcPr>
          <w:p>
            <w:pPr>
              <w:spacing w:after="60" w:before="60" w:line="252" w:lineRule="auto"/>
            </w:pPr>
            <w:r>
              <w:rPr>
                <w:rFonts w:ascii="Aptos" w:hAnsi="Aptos"/>
                <w:color w:val="303236"/>
                <w:sz w:val="18"/>
              </w:rPr>
              <w:t>Strategic alignment</w:t>
            </w:r>
          </w:p>
        </w:tc>
        <w:tc>
          <w:tcPr>
            <w:tcW w:type="dxa" w:w="4411"/>
            <w:shd w:fill="F5F0E7" w:val="clear"/>
          </w:tcPr>
          <w:p>
            <w:pPr>
              <w:spacing w:after="60" w:before="60" w:line="252" w:lineRule="auto"/>
            </w:pPr>
            <w:r>
              <w:rPr>
                <w:rFonts w:ascii="Aptos" w:hAnsi="Aptos"/>
                <w:color w:val="303236"/>
                <w:sz w:val="18"/>
              </w:rPr>
              <w:t>Is the problem linked to documented health-system priorities and realistic alternatives?</w:t>
            </w:r>
          </w:p>
        </w:tc>
        <w:tc>
          <w:tcPr>
            <w:tcW w:type="dxa" w:w="2451"/>
            <w:shd w:fill="F5F0E7" w:val="clear"/>
          </w:tcPr>
          <w:p>
            <w:pPr>
              <w:spacing w:after="60" w:before="60" w:line="252" w:lineRule="auto"/>
            </w:pPr>
            <w:r>
              <w:rPr>
                <w:rFonts w:ascii="Aptos" w:hAnsi="Aptos"/>
                <w:color w:val="303236"/>
                <w:sz w:val="18"/>
              </w:rPr>
            </w:r>
          </w:p>
        </w:tc>
        <w:tc>
          <w:tcPr>
            <w:tcW w:type="dxa" w:w="4288"/>
            <w:shd w:fill="F5F0E7" w:val="clear"/>
          </w:tcPr>
          <w:p>
            <w:pPr>
              <w:spacing w:after="60" w:before="60" w:line="252" w:lineRule="auto"/>
            </w:pPr>
            <w:r>
              <w:rPr>
                <w:rFonts w:ascii="Aptos" w:hAnsi="Aptos"/>
                <w:color w:val="303236"/>
                <w:sz w:val="18"/>
              </w:rPr>
            </w:r>
          </w:p>
        </w:tc>
      </w:tr>
      <w:tr>
        <w:trPr>
          <w:cantSplit/>
        </w:trPr>
        <w:tc>
          <w:tcPr>
            <w:tcW w:type="dxa" w:w="2818"/>
          </w:tcPr>
          <w:p>
            <w:pPr>
              <w:spacing w:after="60" w:before="60" w:line="252" w:lineRule="auto"/>
            </w:pPr>
            <w:r>
              <w:rPr>
                <w:rFonts w:ascii="Aptos" w:hAnsi="Aptos"/>
                <w:color w:val="303236"/>
                <w:sz w:val="18"/>
              </w:rPr>
              <w:t>Data fitness</w:t>
            </w:r>
          </w:p>
        </w:tc>
        <w:tc>
          <w:tcPr>
            <w:tcW w:type="dxa" w:w="4411"/>
          </w:tcPr>
          <w:p>
            <w:pPr>
              <w:spacing w:after="60" w:before="60" w:line="252" w:lineRule="auto"/>
            </w:pPr>
            <w:r>
              <w:rPr>
                <w:rFonts w:ascii="Aptos" w:hAnsi="Aptos"/>
                <w:color w:val="303236"/>
                <w:sz w:val="18"/>
              </w:rPr>
              <w:t>Are required data lawful, available, timely, representative, traceable, and sustainable?</w:t>
            </w:r>
          </w:p>
        </w:tc>
        <w:tc>
          <w:tcPr>
            <w:tcW w:type="dxa" w:w="2451"/>
          </w:tcPr>
          <w:p>
            <w:pPr>
              <w:spacing w:after="60" w:before="60" w:line="252" w:lineRule="auto"/>
            </w:pPr>
            <w:r>
              <w:rPr>
                <w:rFonts w:ascii="Aptos" w:hAnsi="Aptos"/>
                <w:color w:val="303236"/>
                <w:sz w:val="18"/>
              </w:rPr>
            </w:r>
          </w:p>
        </w:tc>
        <w:tc>
          <w:tcPr>
            <w:tcW w:type="dxa" w:w="4288"/>
          </w:tcPr>
          <w:p>
            <w:pPr>
              <w:spacing w:after="60" w:before="60" w:line="252" w:lineRule="auto"/>
            </w:pPr>
            <w:r>
              <w:rPr>
                <w:rFonts w:ascii="Aptos" w:hAnsi="Aptos"/>
                <w:color w:val="303236"/>
                <w:sz w:val="18"/>
              </w:rPr>
            </w:r>
          </w:p>
        </w:tc>
      </w:tr>
      <w:tr>
        <w:trPr>
          <w:cantSplit/>
        </w:trPr>
        <w:tc>
          <w:tcPr>
            <w:tcW w:type="dxa" w:w="2818"/>
            <w:shd w:fill="F5F0E7" w:val="clear"/>
          </w:tcPr>
          <w:p>
            <w:pPr>
              <w:spacing w:after="60" w:before="60" w:line="252" w:lineRule="auto"/>
            </w:pPr>
            <w:r>
              <w:rPr>
                <w:rFonts w:ascii="Aptos" w:hAnsi="Aptos"/>
                <w:color w:val="303236"/>
                <w:sz w:val="18"/>
              </w:rPr>
              <w:t>Interoperability</w:t>
            </w:r>
          </w:p>
        </w:tc>
        <w:tc>
          <w:tcPr>
            <w:tcW w:type="dxa" w:w="4411"/>
            <w:shd w:fill="F5F0E7" w:val="clear"/>
          </w:tcPr>
          <w:p>
            <w:pPr>
              <w:spacing w:after="60" w:before="60" w:line="252" w:lineRule="auto"/>
            </w:pPr>
            <w:r>
              <w:rPr>
                <w:rFonts w:ascii="Aptos" w:hAnsi="Aptos"/>
                <w:color w:val="303236"/>
                <w:sz w:val="18"/>
              </w:rPr>
              <w:t>Can inputs and outputs be exchanged and interpreted consistently within the decision window?</w:t>
            </w:r>
          </w:p>
        </w:tc>
        <w:tc>
          <w:tcPr>
            <w:tcW w:type="dxa" w:w="2451"/>
            <w:shd w:fill="F5F0E7" w:val="clear"/>
          </w:tcPr>
          <w:p>
            <w:pPr>
              <w:spacing w:after="60" w:before="60" w:line="252" w:lineRule="auto"/>
            </w:pPr>
            <w:r>
              <w:rPr>
                <w:rFonts w:ascii="Aptos" w:hAnsi="Aptos"/>
                <w:color w:val="303236"/>
                <w:sz w:val="18"/>
              </w:rPr>
            </w:r>
          </w:p>
        </w:tc>
        <w:tc>
          <w:tcPr>
            <w:tcW w:type="dxa" w:w="4288"/>
            <w:shd w:fill="F5F0E7" w:val="clear"/>
          </w:tcPr>
          <w:p>
            <w:pPr>
              <w:spacing w:after="60" w:before="60" w:line="252" w:lineRule="auto"/>
            </w:pPr>
            <w:r>
              <w:rPr>
                <w:rFonts w:ascii="Aptos" w:hAnsi="Aptos"/>
                <w:color w:val="303236"/>
                <w:sz w:val="18"/>
              </w:rPr>
            </w:r>
          </w:p>
        </w:tc>
      </w:tr>
      <w:tr>
        <w:trPr>
          <w:cantSplit/>
        </w:trPr>
        <w:tc>
          <w:tcPr>
            <w:tcW w:type="dxa" w:w="2818"/>
          </w:tcPr>
          <w:p>
            <w:pPr>
              <w:spacing w:after="60" w:before="60" w:line="252" w:lineRule="auto"/>
            </w:pPr>
            <w:r>
              <w:rPr>
                <w:rFonts w:ascii="Aptos" w:hAnsi="Aptos"/>
                <w:color w:val="303236"/>
                <w:sz w:val="18"/>
              </w:rPr>
              <w:t>Infrastructure and resilience</w:t>
            </w:r>
          </w:p>
        </w:tc>
        <w:tc>
          <w:tcPr>
            <w:tcW w:type="dxa" w:w="4411"/>
          </w:tcPr>
          <w:p>
            <w:pPr>
              <w:spacing w:after="60" w:before="60" w:line="252" w:lineRule="auto"/>
            </w:pPr>
            <w:r>
              <w:rPr>
                <w:rFonts w:ascii="Aptos" w:hAnsi="Aptos"/>
                <w:color w:val="303236"/>
                <w:sz w:val="18"/>
              </w:rPr>
              <w:t>Are identity, access, compute, storage, interfaces, logging, fallback, and recovery adequate?</w:t>
            </w:r>
          </w:p>
        </w:tc>
        <w:tc>
          <w:tcPr>
            <w:tcW w:type="dxa" w:w="2451"/>
          </w:tcPr>
          <w:p>
            <w:pPr>
              <w:spacing w:after="60" w:before="60" w:line="252" w:lineRule="auto"/>
            </w:pPr>
            <w:r>
              <w:rPr>
                <w:rFonts w:ascii="Aptos" w:hAnsi="Aptos"/>
                <w:color w:val="303236"/>
                <w:sz w:val="18"/>
              </w:rPr>
            </w:r>
          </w:p>
        </w:tc>
        <w:tc>
          <w:tcPr>
            <w:tcW w:type="dxa" w:w="4288"/>
          </w:tcPr>
          <w:p>
            <w:pPr>
              <w:spacing w:after="60" w:before="60" w:line="252" w:lineRule="auto"/>
            </w:pPr>
            <w:r>
              <w:rPr>
                <w:rFonts w:ascii="Aptos" w:hAnsi="Aptos"/>
                <w:color w:val="303236"/>
                <w:sz w:val="18"/>
              </w:rPr>
            </w:r>
          </w:p>
        </w:tc>
      </w:tr>
      <w:tr>
        <w:trPr>
          <w:cantSplit/>
        </w:trPr>
        <w:tc>
          <w:tcPr>
            <w:tcW w:type="dxa" w:w="2818"/>
            <w:shd w:fill="F5F0E7" w:val="clear"/>
          </w:tcPr>
          <w:p>
            <w:pPr>
              <w:spacing w:after="60" w:before="60" w:line="252" w:lineRule="auto"/>
            </w:pPr>
            <w:r>
              <w:rPr>
                <w:rFonts w:ascii="Aptos" w:hAnsi="Aptos"/>
                <w:color w:val="303236"/>
                <w:sz w:val="18"/>
              </w:rPr>
              <w:t>Workflow and downstream capacity</w:t>
            </w:r>
          </w:p>
        </w:tc>
        <w:tc>
          <w:tcPr>
            <w:tcW w:type="dxa" w:w="4411"/>
            <w:shd w:fill="F5F0E7" w:val="clear"/>
          </w:tcPr>
          <w:p>
            <w:pPr>
              <w:spacing w:after="60" w:before="60" w:line="252" w:lineRule="auto"/>
            </w:pPr>
            <w:r>
              <w:rPr>
                <w:rFonts w:ascii="Aptos" w:hAnsi="Aptos"/>
                <w:color w:val="303236"/>
                <w:sz w:val="18"/>
              </w:rPr>
              <w:t>Can users interpret the output and take the intended action without shifting unsafe burden?</w:t>
            </w:r>
          </w:p>
        </w:tc>
        <w:tc>
          <w:tcPr>
            <w:tcW w:type="dxa" w:w="2451"/>
            <w:shd w:fill="F5F0E7" w:val="clear"/>
          </w:tcPr>
          <w:p>
            <w:pPr>
              <w:spacing w:after="60" w:before="60" w:line="252" w:lineRule="auto"/>
            </w:pPr>
            <w:r>
              <w:rPr>
                <w:rFonts w:ascii="Aptos" w:hAnsi="Aptos"/>
                <w:color w:val="303236"/>
                <w:sz w:val="18"/>
              </w:rPr>
            </w:r>
          </w:p>
        </w:tc>
        <w:tc>
          <w:tcPr>
            <w:tcW w:type="dxa" w:w="4288"/>
            <w:shd w:fill="F5F0E7" w:val="clear"/>
          </w:tcPr>
          <w:p>
            <w:pPr>
              <w:spacing w:after="60" w:before="60" w:line="252" w:lineRule="auto"/>
            </w:pPr>
            <w:r>
              <w:rPr>
                <w:rFonts w:ascii="Aptos" w:hAnsi="Aptos"/>
                <w:color w:val="303236"/>
                <w:sz w:val="18"/>
              </w:rPr>
            </w:r>
          </w:p>
        </w:tc>
      </w:tr>
      <w:tr>
        <w:trPr>
          <w:cantSplit/>
        </w:trPr>
        <w:tc>
          <w:tcPr>
            <w:tcW w:type="dxa" w:w="2818"/>
          </w:tcPr>
          <w:p>
            <w:pPr>
              <w:spacing w:after="60" w:before="60" w:line="252" w:lineRule="auto"/>
            </w:pPr>
            <w:r>
              <w:rPr>
                <w:rFonts w:ascii="Aptos" w:hAnsi="Aptos"/>
                <w:color w:val="303236"/>
                <w:sz w:val="18"/>
              </w:rPr>
              <w:t>Workforce capability</w:t>
            </w:r>
          </w:p>
        </w:tc>
        <w:tc>
          <w:tcPr>
            <w:tcW w:type="dxa" w:w="4411"/>
          </w:tcPr>
          <w:p>
            <w:pPr>
              <w:spacing w:after="60" w:before="60" w:line="252" w:lineRule="auto"/>
            </w:pPr>
            <w:r>
              <w:rPr>
                <w:rFonts w:ascii="Aptos" w:hAnsi="Aptos"/>
                <w:color w:val="303236"/>
                <w:sz w:val="18"/>
              </w:rPr>
              <w:t>Are roles, training, competency, supervision, and professional responsibilities defined?</w:t>
            </w:r>
          </w:p>
        </w:tc>
        <w:tc>
          <w:tcPr>
            <w:tcW w:type="dxa" w:w="2451"/>
          </w:tcPr>
          <w:p>
            <w:pPr>
              <w:spacing w:after="60" w:before="60" w:line="252" w:lineRule="auto"/>
            </w:pPr>
            <w:r>
              <w:rPr>
                <w:rFonts w:ascii="Aptos" w:hAnsi="Aptos"/>
                <w:color w:val="303236"/>
                <w:sz w:val="18"/>
              </w:rPr>
            </w:r>
          </w:p>
        </w:tc>
        <w:tc>
          <w:tcPr>
            <w:tcW w:type="dxa" w:w="4288"/>
          </w:tcPr>
          <w:p>
            <w:pPr>
              <w:spacing w:after="60" w:before="60" w:line="252" w:lineRule="auto"/>
            </w:pPr>
            <w:r>
              <w:rPr>
                <w:rFonts w:ascii="Aptos" w:hAnsi="Aptos"/>
                <w:color w:val="303236"/>
                <w:sz w:val="18"/>
              </w:rPr>
            </w:r>
          </w:p>
        </w:tc>
      </w:tr>
      <w:tr>
        <w:trPr>
          <w:cantSplit/>
        </w:trPr>
        <w:tc>
          <w:tcPr>
            <w:tcW w:type="dxa" w:w="2818"/>
            <w:shd w:fill="F5F0E7" w:val="clear"/>
          </w:tcPr>
          <w:p>
            <w:pPr>
              <w:spacing w:after="60" w:before="60" w:line="252" w:lineRule="auto"/>
            </w:pPr>
            <w:r>
              <w:rPr>
                <w:rFonts w:ascii="Aptos" w:hAnsi="Aptos"/>
                <w:color w:val="303236"/>
                <w:sz w:val="18"/>
              </w:rPr>
              <w:t>Quality and accreditation</w:t>
            </w:r>
          </w:p>
        </w:tc>
        <w:tc>
          <w:tcPr>
            <w:tcW w:type="dxa" w:w="4411"/>
            <w:shd w:fill="F5F0E7" w:val="clear"/>
          </w:tcPr>
          <w:p>
            <w:pPr>
              <w:spacing w:after="60" w:before="60" w:line="252" w:lineRule="auto"/>
            </w:pPr>
            <w:r>
              <w:rPr>
                <w:rFonts w:ascii="Aptos" w:hAnsi="Aptos"/>
                <w:color w:val="303236"/>
                <w:sz w:val="18"/>
              </w:rPr>
              <w:t>Are controls, indicators, evidence, incident processes, and improvement responsibilities integrated?</w:t>
            </w:r>
          </w:p>
        </w:tc>
        <w:tc>
          <w:tcPr>
            <w:tcW w:type="dxa" w:w="2451"/>
            <w:shd w:fill="F5F0E7" w:val="clear"/>
          </w:tcPr>
          <w:p>
            <w:pPr>
              <w:spacing w:after="60" w:before="60" w:line="252" w:lineRule="auto"/>
            </w:pPr>
            <w:r>
              <w:rPr>
                <w:rFonts w:ascii="Aptos" w:hAnsi="Aptos"/>
                <w:color w:val="303236"/>
                <w:sz w:val="18"/>
              </w:rPr>
            </w:r>
          </w:p>
        </w:tc>
        <w:tc>
          <w:tcPr>
            <w:tcW w:type="dxa" w:w="4288"/>
            <w:shd w:fill="F5F0E7" w:val="clear"/>
          </w:tcPr>
          <w:p>
            <w:pPr>
              <w:spacing w:after="60" w:before="60" w:line="252" w:lineRule="auto"/>
            </w:pPr>
            <w:r>
              <w:rPr>
                <w:rFonts w:ascii="Aptos" w:hAnsi="Aptos"/>
                <w:color w:val="303236"/>
                <w:sz w:val="18"/>
              </w:rPr>
            </w:r>
          </w:p>
        </w:tc>
      </w:tr>
      <w:tr>
        <w:trPr>
          <w:cantSplit/>
        </w:trPr>
        <w:tc>
          <w:tcPr>
            <w:tcW w:type="dxa" w:w="2818"/>
          </w:tcPr>
          <w:p>
            <w:pPr>
              <w:spacing w:after="60" w:before="60" w:line="252" w:lineRule="auto"/>
            </w:pPr>
            <w:r>
              <w:rPr>
                <w:rFonts w:ascii="Aptos" w:hAnsi="Aptos"/>
                <w:color w:val="303236"/>
                <w:sz w:val="18"/>
              </w:rPr>
              <w:t>Economics and affordability</w:t>
            </w:r>
          </w:p>
        </w:tc>
        <w:tc>
          <w:tcPr>
            <w:tcW w:type="dxa" w:w="4411"/>
          </w:tcPr>
          <w:p>
            <w:pPr>
              <w:spacing w:after="60" w:before="60" w:line="252" w:lineRule="auto"/>
            </w:pPr>
            <w:r>
              <w:rPr>
                <w:rFonts w:ascii="Aptos" w:hAnsi="Aptos"/>
                <w:color w:val="303236"/>
                <w:sz w:val="18"/>
              </w:rPr>
              <w:t>Are lifecycle costs, resource constraints, benefits, uncertainty, and budget exposure understood?</w:t>
            </w:r>
          </w:p>
        </w:tc>
        <w:tc>
          <w:tcPr>
            <w:tcW w:type="dxa" w:w="2451"/>
          </w:tcPr>
          <w:p>
            <w:pPr>
              <w:spacing w:after="60" w:before="60" w:line="252" w:lineRule="auto"/>
            </w:pPr>
            <w:r>
              <w:rPr>
                <w:rFonts w:ascii="Aptos" w:hAnsi="Aptos"/>
                <w:color w:val="303236"/>
                <w:sz w:val="18"/>
              </w:rPr>
            </w:r>
          </w:p>
        </w:tc>
        <w:tc>
          <w:tcPr>
            <w:tcW w:type="dxa" w:w="4288"/>
          </w:tcPr>
          <w:p>
            <w:pPr>
              <w:spacing w:after="60" w:before="60" w:line="252" w:lineRule="auto"/>
            </w:pPr>
            <w:r>
              <w:rPr>
                <w:rFonts w:ascii="Aptos" w:hAnsi="Aptos"/>
                <w:color w:val="303236"/>
                <w:sz w:val="18"/>
              </w:rPr>
            </w:r>
          </w:p>
        </w:tc>
      </w:tr>
      <w:tr>
        <w:trPr>
          <w:cantSplit/>
        </w:trPr>
        <w:tc>
          <w:tcPr>
            <w:tcW w:type="dxa" w:w="2818"/>
            <w:shd w:fill="F5F0E7" w:val="clear"/>
          </w:tcPr>
          <w:p>
            <w:pPr>
              <w:spacing w:after="60" w:before="60" w:line="252" w:lineRule="auto"/>
            </w:pPr>
            <w:r>
              <w:rPr>
                <w:rFonts w:ascii="Aptos" w:hAnsi="Aptos"/>
                <w:color w:val="303236"/>
                <w:sz w:val="18"/>
              </w:rPr>
              <w:t>Governance and assurance</w:t>
            </w:r>
          </w:p>
        </w:tc>
        <w:tc>
          <w:tcPr>
            <w:tcW w:type="dxa" w:w="4411"/>
            <w:shd w:fill="F5F0E7" w:val="clear"/>
          </w:tcPr>
          <w:p>
            <w:pPr>
              <w:spacing w:after="60" w:before="60" w:line="252" w:lineRule="auto"/>
            </w:pPr>
            <w:r>
              <w:rPr>
                <w:rFonts w:ascii="Aptos" w:hAnsi="Aptos"/>
                <w:color w:val="303236"/>
                <w:sz w:val="18"/>
              </w:rPr>
              <w:t>Are decision rights, safeguards, independent review, monitoring, and authority to stop defined?</w:t>
            </w:r>
          </w:p>
        </w:tc>
        <w:tc>
          <w:tcPr>
            <w:tcW w:type="dxa" w:w="2451"/>
            <w:shd w:fill="F5F0E7" w:val="clear"/>
          </w:tcPr>
          <w:p>
            <w:pPr>
              <w:spacing w:after="60" w:before="60" w:line="252" w:lineRule="auto"/>
            </w:pPr>
            <w:r>
              <w:rPr>
                <w:rFonts w:ascii="Aptos" w:hAnsi="Aptos"/>
                <w:color w:val="303236"/>
                <w:sz w:val="18"/>
              </w:rPr>
            </w:r>
          </w:p>
        </w:tc>
        <w:tc>
          <w:tcPr>
            <w:tcW w:type="dxa" w:w="4288"/>
            <w:shd w:fill="F5F0E7" w:val="clear"/>
          </w:tcPr>
          <w:p>
            <w:pPr>
              <w:spacing w:after="60" w:before="60" w:line="252" w:lineRule="auto"/>
            </w:pPr>
            <w:r>
              <w:rPr>
                <w:rFonts w:ascii="Aptos" w:hAnsi="Aptos"/>
                <w:color w:val="303236"/>
                <w:sz w:val="18"/>
              </w:rPr>
            </w:r>
          </w:p>
        </w:tc>
      </w:tr>
      <w:tr>
        <w:trPr>
          <w:cantSplit/>
        </w:trPr>
        <w:tc>
          <w:tcPr>
            <w:tcW w:type="dxa" w:w="2818"/>
          </w:tcPr>
          <w:p>
            <w:pPr>
              <w:spacing w:after="60" w:before="60" w:line="252" w:lineRule="auto"/>
            </w:pPr>
            <w:r>
              <w:rPr>
                <w:rFonts w:ascii="Aptos" w:hAnsi="Aptos"/>
                <w:color w:val="303236"/>
                <w:sz w:val="18"/>
              </w:rPr>
              <w:t>Procurement and vendor readiness</w:t>
            </w:r>
          </w:p>
        </w:tc>
        <w:tc>
          <w:tcPr>
            <w:tcW w:type="dxa" w:w="4411"/>
          </w:tcPr>
          <w:p>
            <w:pPr>
              <w:spacing w:after="60" w:before="60" w:line="252" w:lineRule="auto"/>
            </w:pPr>
            <w:r>
              <w:rPr>
                <w:rFonts w:ascii="Aptos" w:hAnsi="Aptos"/>
                <w:color w:val="303236"/>
                <w:sz w:val="18"/>
              </w:rPr>
              <w:t>Can evidence, audit, updates, data rights, support, pricing, portability, and exit be contracted?</w:t>
            </w:r>
          </w:p>
        </w:tc>
        <w:tc>
          <w:tcPr>
            <w:tcW w:type="dxa" w:w="2451"/>
          </w:tcPr>
          <w:p>
            <w:pPr>
              <w:spacing w:after="60" w:before="60" w:line="252" w:lineRule="auto"/>
            </w:pPr>
            <w:r>
              <w:rPr>
                <w:rFonts w:ascii="Aptos" w:hAnsi="Aptos"/>
                <w:color w:val="303236"/>
                <w:sz w:val="18"/>
              </w:rPr>
            </w:r>
          </w:p>
        </w:tc>
        <w:tc>
          <w:tcPr>
            <w:tcW w:type="dxa" w:w="4288"/>
          </w:tcPr>
          <w:p>
            <w:pPr>
              <w:spacing w:after="60" w:before="60" w:line="252" w:lineRule="auto"/>
            </w:pPr>
            <w:r>
              <w:rPr>
                <w:rFonts w:ascii="Aptos" w:hAnsi="Aptos"/>
                <w:color w:val="303236"/>
                <w:sz w:val="18"/>
              </w:rPr>
            </w:r>
          </w:p>
        </w:tc>
      </w:tr>
      <w:tr>
        <w:trPr>
          <w:cantSplit/>
        </w:trPr>
        <w:tc>
          <w:tcPr>
            <w:tcW w:type="dxa" w:w="2818"/>
            <w:shd w:fill="F5F0E7" w:val="clear"/>
          </w:tcPr>
          <w:p>
            <w:pPr>
              <w:spacing w:after="60" w:before="60" w:line="252" w:lineRule="auto"/>
            </w:pPr>
            <w:r>
              <w:rPr>
                <w:rFonts w:ascii="Aptos" w:hAnsi="Aptos"/>
                <w:color w:val="303236"/>
                <w:sz w:val="18"/>
              </w:rPr>
              <w:t>Continuing support and service sustainability</w:t>
            </w:r>
          </w:p>
        </w:tc>
        <w:tc>
          <w:tcPr>
            <w:tcW w:type="dxa" w:w="4411"/>
            <w:shd w:fill="F5F0E7" w:val="clear"/>
          </w:tcPr>
          <w:p>
            <w:pPr>
              <w:spacing w:after="60" w:before="60" w:line="252" w:lineRule="auto"/>
            </w:pPr>
            <w:r>
              <w:rPr>
                <w:rFonts w:ascii="Aptos" w:hAnsi="Aptos"/>
                <w:color w:val="303236"/>
                <w:sz w:val="18"/>
              </w:rPr>
              <w:t>Are support, maintenance, infrastructure dependencies, continuity, replacement, residual value, and exit considered where material?</w:t>
            </w:r>
          </w:p>
        </w:tc>
        <w:tc>
          <w:tcPr>
            <w:tcW w:type="dxa" w:w="2451"/>
            <w:shd w:fill="F5F0E7" w:val="clear"/>
          </w:tcPr>
          <w:p>
            <w:pPr>
              <w:spacing w:after="60" w:before="60" w:line="252" w:lineRule="auto"/>
            </w:pPr>
            <w:r>
              <w:rPr>
                <w:rFonts w:ascii="Aptos" w:hAnsi="Aptos"/>
                <w:color w:val="303236"/>
                <w:sz w:val="18"/>
              </w:rPr>
            </w:r>
          </w:p>
        </w:tc>
        <w:tc>
          <w:tcPr>
            <w:tcW w:type="dxa" w:w="4288"/>
            <w:shd w:fill="F5F0E7" w:val="clear"/>
          </w:tcPr>
          <w:p>
            <w:pPr>
              <w:spacing w:after="60" w:before="60" w:line="252" w:lineRule="auto"/>
            </w:pPr>
            <w:r>
              <w:rPr>
                <w:rFonts w:ascii="Aptos" w:hAnsi="Aptos"/>
                <w:color w:val="303236"/>
                <w:sz w:val="18"/>
              </w:rPr>
            </w:r>
          </w:p>
        </w:tc>
      </w:tr>
    </w:tbl>
    <w:p>
      <w:r>
        <w:rPr>
          <w:rFonts w:ascii="Aptos" w:hAnsi="Aptos"/>
          <w:sz w:val="16"/>
        </w:rPr>
        <w:t>Local record control: owner __________________  evidence cut-off __________  next review __________  local version __________</w:t>
      </w:r>
    </w:p>
    <w:p>
      <w:pPr>
        <w:pageBreakBefore/>
        <w:spacing w:after="80"/>
      </w:pPr>
      <w:r>
        <w:rPr>
          <w:rFonts w:ascii="Aptos" w:hAnsi="Aptos"/>
          <w:color w:val="877567"/>
          <w:sz w:val="18"/>
        </w:rPr>
        <w:t>Part I — Managerial and Economic Foundations</w:t>
      </w:r>
    </w:p>
    <w:p>
      <w:pPr>
        <w:pStyle w:val="Heading1"/>
      </w:pPr>
      <w:r>
        <w:t>AIHE-A04 — Data Source, Provenance, and Fitness Record</w:t>
      </w:r>
    </w:p>
    <w:p>
      <w:pPr>
        <w:spacing w:after="80"/>
      </w:pPr>
      <w:r>
        <w:rPr>
          <w:color w:val="877567"/>
          <w:sz w:val="20"/>
        </w:rPr>
        <w:t>Chapter 2: Institutional Readiness and Digital Foundations</w:t>
      </w:r>
    </w:p>
    <w:p>
      <w:r>
        <w:t>Document source and derived data assets, authority, definitions, transformations, quality, lineage, monitoring, and remediation.</w:t>
      </w:r>
    </w:p>
    <w:p>
      <w:r>
        <w:rPr>
          <w:rFonts w:ascii="Aptos" w:hAnsi="Aptos"/>
          <w:sz w:val="17"/>
        </w:rPr>
        <w:t>Resource: AIHE-A04  |  V1.0  |  Aligned chapters: 2, 8, 11, 12</w:t>
      </w:r>
    </w:p>
    <w:p>
      <w:r>
        <w:t>Complete the record with the people who own the evidence, workflow, budget, safeguards, and follow-up action. Distinguish documented evidence from assumptions and planned evidence collection. Record the exact intervention and version, accountable owner, decision conditions, evidence cut-off, review date, and trigger events.</w:t>
      </w:r>
    </w:p>
    <w:tbl>
      <w:tblPr>
        <w:tblW w:type="auto" w:w="0"/>
        <w:tblLayout w:type="fixed"/>
        <w:tblLook w:firstColumn="1" w:firstRow="1" w:lastColumn="0" w:lastRow="0" w:noHBand="0" w:noVBand="1" w:val="04A0"/>
        <w:tblBorders>
          <w:top w:val="single" w:sz="4" w:color="D9D0C2"/>
          <w:left w:val="single" w:sz="4" w:color="D9D0C2"/>
          <w:bottom w:val="single" w:sz="4" w:color="D9D0C2"/>
          <w:right w:val="single" w:sz="4" w:color="D9D0C2"/>
          <w:insideH w:val="single" w:sz="4" w:color="D9D0C2"/>
          <w:insideV w:val="single" w:sz="4" w:color="D9D0C2"/>
        </w:tblBorders>
        <w:tblCellMar>
          <w:top w:w="80" w:type="dxa"/>
          <w:left w:w="80" w:type="dxa"/>
          <w:bottom w:w="80" w:type="dxa"/>
          <w:right w:w="80" w:type="dxa"/>
        </w:tblCellMar>
      </w:tblPr>
      <w:tblGrid>
        <w:gridCol w:w="2794"/>
        <w:gridCol w:w="1862"/>
        <w:gridCol w:w="1862"/>
        <w:gridCol w:w="1862"/>
        <w:gridCol w:w="1862"/>
        <w:gridCol w:w="1862"/>
        <w:gridCol w:w="1862"/>
      </w:tblGrid>
      <w:tr>
        <w:trPr>
          <w:tblHeader/>
          <w:cantSplit/>
        </w:trPr>
        <w:tc>
          <w:tcPr>
            <w:tcW w:type="dxa" w:w="2794"/>
            <w:shd w:fill="6B2230" w:val="clear"/>
          </w:tcPr>
          <w:p>
            <w:pPr>
              <w:spacing w:after="60" w:before="60"/>
            </w:pPr>
            <w:r>
              <w:rPr>
                <w:rFonts w:ascii="Aptos" w:hAnsi="Aptos"/>
                <w:b/>
                <w:color w:val="FFFFFF"/>
                <w:sz w:val="17"/>
              </w:rPr>
              <w:t>Source or derived asset</w:t>
            </w:r>
          </w:p>
        </w:tc>
        <w:tc>
          <w:tcPr>
            <w:tcW w:type="dxa" w:w="1862"/>
            <w:shd w:fill="6B2230" w:val="clear"/>
          </w:tcPr>
          <w:p>
            <w:pPr>
              <w:spacing w:after="60" w:before="60"/>
            </w:pPr>
            <w:r>
              <w:rPr>
                <w:rFonts w:ascii="Aptos" w:hAnsi="Aptos"/>
                <w:b/>
                <w:color w:val="FFFFFF"/>
                <w:sz w:val="17"/>
              </w:rPr>
              <w:t>Purpose and required timing</w:t>
            </w:r>
          </w:p>
        </w:tc>
        <w:tc>
          <w:tcPr>
            <w:tcW w:type="dxa" w:w="1862"/>
            <w:shd w:fill="6B2230" w:val="clear"/>
          </w:tcPr>
          <w:p>
            <w:pPr>
              <w:spacing w:after="60" w:before="60"/>
            </w:pPr>
            <w:r>
              <w:rPr>
                <w:rFonts w:ascii="Aptos" w:hAnsi="Aptos"/>
                <w:b/>
                <w:color w:val="FFFFFF"/>
                <w:sz w:val="17"/>
              </w:rPr>
              <w:t>Authority and steward</w:t>
            </w:r>
          </w:p>
        </w:tc>
        <w:tc>
          <w:tcPr>
            <w:tcW w:type="dxa" w:w="1862"/>
            <w:shd w:fill="6B2230" w:val="clear"/>
          </w:tcPr>
          <w:p>
            <w:pPr>
              <w:spacing w:after="60" w:before="60"/>
            </w:pPr>
            <w:r>
              <w:rPr>
                <w:rFonts w:ascii="Aptos" w:hAnsi="Aptos"/>
                <w:b/>
                <w:color w:val="FFFFFF"/>
                <w:sz w:val="17"/>
              </w:rPr>
              <w:t>Definition, units, and transformations</w:t>
            </w:r>
          </w:p>
        </w:tc>
        <w:tc>
          <w:tcPr>
            <w:tcW w:type="dxa" w:w="1862"/>
            <w:shd w:fill="6B2230" w:val="clear"/>
          </w:tcPr>
          <w:p>
            <w:pPr>
              <w:spacing w:after="60" w:before="60"/>
            </w:pPr>
            <w:r>
              <w:rPr>
                <w:rFonts w:ascii="Aptos" w:hAnsi="Aptos"/>
                <w:b/>
                <w:color w:val="FFFFFF"/>
                <w:sz w:val="17"/>
              </w:rPr>
              <w:t>Completeness, plausibility, and representativeness</w:t>
            </w:r>
          </w:p>
        </w:tc>
        <w:tc>
          <w:tcPr>
            <w:tcW w:type="dxa" w:w="1862"/>
            <w:shd w:fill="6B2230" w:val="clear"/>
          </w:tcPr>
          <w:p>
            <w:pPr>
              <w:spacing w:after="60" w:before="60"/>
            </w:pPr>
            <w:r>
              <w:rPr>
                <w:rFonts w:ascii="Aptos" w:hAnsi="Aptos"/>
                <w:b/>
                <w:color w:val="FFFFFF"/>
                <w:sz w:val="17"/>
              </w:rPr>
              <w:t>Lineage, version, and monitoring</w:t>
            </w:r>
          </w:p>
        </w:tc>
        <w:tc>
          <w:tcPr>
            <w:tcW w:type="dxa" w:w="1862"/>
            <w:shd w:fill="6B2230" w:val="clear"/>
          </w:tcPr>
          <w:p>
            <w:pPr>
              <w:spacing w:after="60" w:before="60"/>
            </w:pPr>
            <w:r>
              <w:rPr>
                <w:rFonts w:ascii="Aptos" w:hAnsi="Aptos"/>
                <w:b/>
                <w:color w:val="FFFFFF"/>
                <w:sz w:val="17"/>
              </w:rPr>
              <w:t>Risk, remediation, and decision</w:t>
            </w:r>
          </w:p>
        </w:tc>
      </w:tr>
      <w:tr>
        <w:trPr>
          <w:cantSplit/>
        </w:trPr>
        <w:tc>
          <w:tcPr>
            <w:tcW w:type="dxa" w:w="2794"/>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r>
      <w:tr>
        <w:trPr>
          <w:cantSplit/>
        </w:trPr>
        <w:tc>
          <w:tcPr>
            <w:tcW w:type="dxa" w:w="2794"/>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r>
      <w:tr>
        <w:trPr>
          <w:cantSplit/>
        </w:trPr>
        <w:tc>
          <w:tcPr>
            <w:tcW w:type="dxa" w:w="2794"/>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r>
      <w:tr>
        <w:trPr>
          <w:cantSplit/>
        </w:trPr>
        <w:tc>
          <w:tcPr>
            <w:tcW w:type="dxa" w:w="2794"/>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r>
    </w:tbl>
    <w:p>
      <w:r>
        <w:rPr>
          <w:rFonts w:ascii="Aptos" w:hAnsi="Aptos"/>
          <w:sz w:val="16"/>
        </w:rPr>
        <w:t>Local record control: owner __________________  evidence cut-off __________  next review __________  local version __________</w:t>
      </w:r>
    </w:p>
    <w:p>
      <w:pPr>
        <w:pageBreakBefore/>
        <w:spacing w:after="80"/>
      </w:pPr>
      <w:r>
        <w:rPr>
          <w:rFonts w:ascii="Aptos" w:hAnsi="Aptos"/>
          <w:color w:val="877567"/>
          <w:sz w:val="18"/>
        </w:rPr>
        <w:t>Part I — Managerial and Economic Foundations</w:t>
      </w:r>
    </w:p>
    <w:p>
      <w:pPr>
        <w:pStyle w:val="Heading1"/>
      </w:pPr>
      <w:r>
        <w:t>AIHE-C04 — Human Oversight and Accountability Matrix</w:t>
      </w:r>
    </w:p>
    <w:p>
      <w:pPr>
        <w:spacing w:after="80"/>
      </w:pPr>
      <w:r>
        <w:rPr>
          <w:color w:val="877567"/>
          <w:sz w:val="20"/>
        </w:rPr>
        <w:t>Chapter 3: Human–AI Decision Systems and Managerial Action</w:t>
      </w:r>
    </w:p>
    <w:p>
      <w:r>
        <w:t>Assign accountability, responsibility, consultation, information, escalation, pause, update, restart, and retirement authority.</w:t>
      </w:r>
    </w:p>
    <w:p>
      <w:r>
        <w:rPr>
          <w:rFonts w:ascii="Aptos" w:hAnsi="Aptos"/>
          <w:sz w:val="17"/>
        </w:rPr>
        <w:t>Resource: AIHE-C04  |  V1.0  |  Aligned chapters: 3, 10, 12</w:t>
      </w:r>
    </w:p>
    <w:p>
      <w:r>
        <w:t>Complete the record with the people who own the evidence, workflow, budget, safeguards, and follow-up action. Distinguish documented evidence from assumptions and planned evidence collection. Record the exact intervention and version, accountable owner, decision conditions, evidence cut-off, review date, and trigger events.</w:t>
      </w:r>
    </w:p>
    <w:tbl>
      <w:tblPr>
        <w:tblW w:type="auto" w:w="0"/>
        <w:tblLayout w:type="fixed"/>
        <w:tblLook w:firstColumn="1" w:firstRow="1" w:lastColumn="0" w:lastRow="0" w:noHBand="0" w:noVBand="1" w:val="04A0"/>
        <w:tblBorders>
          <w:top w:val="single" w:sz="4" w:color="D9D0C2"/>
          <w:left w:val="single" w:sz="4" w:color="D9D0C2"/>
          <w:bottom w:val="single" w:sz="4" w:color="D9D0C2"/>
          <w:right w:val="single" w:sz="4" w:color="D9D0C2"/>
          <w:insideH w:val="single" w:sz="4" w:color="D9D0C2"/>
          <w:insideV w:val="single" w:sz="4" w:color="D9D0C2"/>
        </w:tblBorders>
        <w:tblCellMar>
          <w:top w:w="80" w:type="dxa"/>
          <w:left w:w="80" w:type="dxa"/>
          <w:bottom w:w="80" w:type="dxa"/>
          <w:right w:w="80" w:type="dxa"/>
        </w:tblCellMar>
      </w:tblPr>
      <w:tblGrid>
        <w:gridCol w:w="3888"/>
        <w:gridCol w:w="1440"/>
        <w:gridCol w:w="1440"/>
        <w:gridCol w:w="1440"/>
        <w:gridCol w:w="1440"/>
        <w:gridCol w:w="1440"/>
        <w:gridCol w:w="1440"/>
        <w:gridCol w:w="1440"/>
      </w:tblGrid>
      <w:tr>
        <w:trPr>
          <w:tblHeader/>
          <w:cantSplit/>
        </w:trPr>
        <w:tc>
          <w:tcPr>
            <w:tcW w:type="dxa" w:w="3888"/>
            <w:shd w:fill="6B2230" w:val="clear"/>
          </w:tcPr>
          <w:p>
            <w:pPr>
              <w:spacing w:after="60" w:before="60"/>
            </w:pPr>
            <w:r>
              <w:rPr>
                <w:rFonts w:ascii="Aptos" w:hAnsi="Aptos"/>
                <w:b/>
                <w:color w:val="FFFFFF"/>
                <w:sz w:val="17"/>
              </w:rPr>
              <w:t>Activity</w:t>
            </w:r>
          </w:p>
        </w:tc>
        <w:tc>
          <w:tcPr>
            <w:tcW w:type="dxa" w:w="1440"/>
            <w:shd w:fill="6B2230" w:val="clear"/>
          </w:tcPr>
          <w:p>
            <w:pPr>
              <w:spacing w:after="60" w:before="60"/>
            </w:pPr>
            <w:r>
              <w:rPr>
                <w:rFonts w:ascii="Aptos" w:hAnsi="Aptos"/>
                <w:b/>
                <w:color w:val="FFFFFF"/>
                <w:sz w:val="17"/>
              </w:rPr>
              <w:t>Executive</w:t>
            </w:r>
          </w:p>
        </w:tc>
        <w:tc>
          <w:tcPr>
            <w:tcW w:type="dxa" w:w="1440"/>
            <w:shd w:fill="6B2230" w:val="clear"/>
          </w:tcPr>
          <w:p>
            <w:pPr>
              <w:spacing w:after="60" w:before="60"/>
            </w:pPr>
            <w:r>
              <w:rPr>
                <w:rFonts w:ascii="Aptos" w:hAnsi="Aptos"/>
                <w:b/>
                <w:color w:val="FFFFFF"/>
                <w:sz w:val="17"/>
              </w:rPr>
              <w:t>Clinical</w:t>
            </w:r>
          </w:p>
        </w:tc>
        <w:tc>
          <w:tcPr>
            <w:tcW w:type="dxa" w:w="1440"/>
            <w:shd w:fill="6B2230" w:val="clear"/>
          </w:tcPr>
          <w:p>
            <w:pPr>
              <w:spacing w:after="60" w:before="60"/>
            </w:pPr>
            <w:r>
              <w:rPr>
                <w:rFonts w:ascii="Aptos" w:hAnsi="Aptos"/>
                <w:b/>
                <w:color w:val="FFFFFF"/>
                <w:sz w:val="17"/>
              </w:rPr>
              <w:t>Quality</w:t>
            </w:r>
          </w:p>
        </w:tc>
        <w:tc>
          <w:tcPr>
            <w:tcW w:type="dxa" w:w="1440"/>
            <w:shd w:fill="6B2230" w:val="clear"/>
          </w:tcPr>
          <w:p>
            <w:pPr>
              <w:spacing w:after="60" w:before="60"/>
            </w:pPr>
            <w:r>
              <w:rPr>
                <w:rFonts w:ascii="Aptos" w:hAnsi="Aptos"/>
                <w:b/>
                <w:color w:val="FFFFFF"/>
                <w:sz w:val="17"/>
              </w:rPr>
              <w:t>Data/IT</w:t>
            </w:r>
          </w:p>
        </w:tc>
        <w:tc>
          <w:tcPr>
            <w:tcW w:type="dxa" w:w="1440"/>
            <w:shd w:fill="6B2230" w:val="clear"/>
          </w:tcPr>
          <w:p>
            <w:pPr>
              <w:spacing w:after="60" w:before="60"/>
            </w:pPr>
            <w:r>
              <w:rPr>
                <w:rFonts w:ascii="Aptos" w:hAnsi="Aptos"/>
                <w:b/>
                <w:color w:val="FFFFFF"/>
                <w:sz w:val="17"/>
              </w:rPr>
              <w:t>Economics</w:t>
            </w:r>
          </w:p>
        </w:tc>
        <w:tc>
          <w:tcPr>
            <w:tcW w:type="dxa" w:w="1440"/>
            <w:shd w:fill="6B2230" w:val="clear"/>
          </w:tcPr>
          <w:p>
            <w:pPr>
              <w:spacing w:after="60" w:before="60"/>
            </w:pPr>
            <w:r>
              <w:rPr>
                <w:rFonts w:ascii="Aptos" w:hAnsi="Aptos"/>
                <w:b/>
                <w:color w:val="FFFFFF"/>
                <w:sz w:val="17"/>
              </w:rPr>
              <w:t>Ethics/risk</w:t>
            </w:r>
          </w:p>
        </w:tc>
        <w:tc>
          <w:tcPr>
            <w:tcW w:type="dxa" w:w="1440"/>
            <w:shd w:fill="6B2230" w:val="clear"/>
          </w:tcPr>
          <w:p>
            <w:pPr>
              <w:spacing w:after="60" w:before="60"/>
            </w:pPr>
            <w:r>
              <w:rPr>
                <w:rFonts w:ascii="Aptos" w:hAnsi="Aptos"/>
                <w:b/>
                <w:color w:val="FFFFFF"/>
                <w:sz w:val="17"/>
              </w:rPr>
              <w:t>Procurement vendor</w:t>
            </w:r>
          </w:p>
        </w:tc>
      </w:tr>
      <w:tr>
        <w:trPr>
          <w:cantSplit/>
        </w:trPr>
        <w:tc>
          <w:tcPr>
            <w:tcW w:type="dxa" w:w="3888"/>
            <w:shd w:fill="F5F0E7" w:val="clear"/>
          </w:tcPr>
          <w:p>
            <w:pPr>
              <w:spacing w:after="60" w:before="60" w:line="252" w:lineRule="auto"/>
            </w:pPr>
            <w:r>
              <w:rPr>
                <w:rFonts w:ascii="Aptos" w:hAnsi="Aptos"/>
                <w:color w:val="303236"/>
                <w:sz w:val="17"/>
              </w:rPr>
              <w:t>Define problem, comparator, and intended use</w:t>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r>
      <w:tr>
        <w:trPr>
          <w:cantSplit/>
        </w:trPr>
        <w:tc>
          <w:tcPr>
            <w:tcW w:type="dxa" w:w="3888"/>
          </w:tcPr>
          <w:p>
            <w:pPr>
              <w:spacing w:after="60" w:before="60" w:line="252" w:lineRule="auto"/>
            </w:pPr>
            <w:r>
              <w:rPr>
                <w:rFonts w:ascii="Aptos" w:hAnsi="Aptos"/>
                <w:color w:val="303236"/>
                <w:sz w:val="17"/>
              </w:rPr>
              <w:t>Assess evidence, data, and local validity</w:t>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r>
      <w:tr>
        <w:trPr>
          <w:cantSplit/>
        </w:trPr>
        <w:tc>
          <w:tcPr>
            <w:tcW w:type="dxa" w:w="3888"/>
            <w:shd w:fill="F5F0E7" w:val="clear"/>
          </w:tcPr>
          <w:p>
            <w:pPr>
              <w:spacing w:after="60" w:before="60" w:line="252" w:lineRule="auto"/>
            </w:pPr>
            <w:r>
              <w:rPr>
                <w:rFonts w:ascii="Aptos" w:hAnsi="Aptos"/>
                <w:color w:val="303236"/>
                <w:sz w:val="17"/>
              </w:rPr>
              <w:t>Conduct economic and affordability analysis</w:t>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r>
      <w:tr>
        <w:trPr>
          <w:cantSplit/>
        </w:trPr>
        <w:tc>
          <w:tcPr>
            <w:tcW w:type="dxa" w:w="3888"/>
          </w:tcPr>
          <w:p>
            <w:pPr>
              <w:spacing w:after="60" w:before="60" w:line="252" w:lineRule="auto"/>
            </w:pPr>
            <w:r>
              <w:rPr>
                <w:rFonts w:ascii="Aptos" w:hAnsi="Aptos"/>
                <w:color w:val="303236"/>
                <w:sz w:val="17"/>
              </w:rPr>
              <w:t>Approve procurement, contract, and pilot</w:t>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r>
      <w:tr>
        <w:trPr>
          <w:cantSplit/>
        </w:trPr>
        <w:tc>
          <w:tcPr>
            <w:tcW w:type="dxa" w:w="3888"/>
            <w:shd w:fill="F5F0E7" w:val="clear"/>
          </w:tcPr>
          <w:p>
            <w:pPr>
              <w:spacing w:after="60" w:before="60" w:line="252" w:lineRule="auto"/>
            </w:pPr>
            <w:r>
              <w:rPr>
                <w:rFonts w:ascii="Aptos" w:hAnsi="Aptos"/>
                <w:color w:val="303236"/>
                <w:sz w:val="17"/>
              </w:rPr>
              <w:t>Operate, review, override, and escalate</w:t>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r>
      <w:tr>
        <w:trPr>
          <w:cantSplit/>
        </w:trPr>
        <w:tc>
          <w:tcPr>
            <w:tcW w:type="dxa" w:w="3888"/>
          </w:tcPr>
          <w:p>
            <w:pPr>
              <w:spacing w:after="60" w:before="60" w:line="252" w:lineRule="auto"/>
            </w:pPr>
            <w:r>
              <w:rPr>
                <w:rFonts w:ascii="Aptos" w:hAnsi="Aptos"/>
                <w:color w:val="303236"/>
                <w:sz w:val="17"/>
              </w:rPr>
              <w:t>Investigate incidents and corrective action</w:t>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r>
      <w:tr>
        <w:trPr>
          <w:cantSplit/>
        </w:trPr>
        <w:tc>
          <w:tcPr>
            <w:tcW w:type="dxa" w:w="3888"/>
            <w:shd w:fill="F5F0E7" w:val="clear"/>
          </w:tcPr>
          <w:p>
            <w:pPr>
              <w:spacing w:after="60" w:before="60" w:line="252" w:lineRule="auto"/>
            </w:pPr>
            <w:r>
              <w:rPr>
                <w:rFonts w:ascii="Aptos" w:hAnsi="Aptos"/>
                <w:color w:val="303236"/>
                <w:sz w:val="17"/>
              </w:rPr>
              <w:t>Approve material change or expansion</w:t>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c>
          <w:tcPr>
            <w:tcW w:type="dxa" w:w="1440"/>
            <w:shd w:fill="F5F0E7" w:val="clear"/>
          </w:tcPr>
          <w:p>
            <w:pPr>
              <w:spacing w:after="60" w:before="60" w:line="252" w:lineRule="auto"/>
            </w:pPr>
            <w:r>
              <w:rPr>
                <w:rFonts w:ascii="Aptos" w:hAnsi="Aptos"/>
                <w:color w:val="303236"/>
                <w:sz w:val="17"/>
              </w:rPr>
            </w:r>
          </w:p>
        </w:tc>
      </w:tr>
      <w:tr>
        <w:trPr>
          <w:cantSplit/>
        </w:trPr>
        <w:tc>
          <w:tcPr>
            <w:tcW w:type="dxa" w:w="3888"/>
          </w:tcPr>
          <w:p>
            <w:pPr>
              <w:spacing w:after="60" w:before="60" w:line="252" w:lineRule="auto"/>
            </w:pPr>
            <w:r>
              <w:rPr>
                <w:rFonts w:ascii="Aptos" w:hAnsi="Aptos"/>
                <w:color w:val="303236"/>
                <w:sz w:val="17"/>
              </w:rPr>
              <w:t>Renew, restrict, replace, pause, restart, or retire</w:t>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c>
          <w:tcPr>
            <w:tcW w:type="dxa" w:w="1440"/>
          </w:tcPr>
          <w:p>
            <w:pPr>
              <w:spacing w:after="60" w:before="60" w:line="252" w:lineRule="auto"/>
            </w:pPr>
            <w:r>
              <w:rPr>
                <w:rFonts w:ascii="Aptos" w:hAnsi="Aptos"/>
                <w:color w:val="303236"/>
                <w:sz w:val="17"/>
              </w:rPr>
            </w:r>
          </w:p>
        </w:tc>
      </w:tr>
    </w:tbl>
    <w:p>
      <w:r>
        <w:rPr>
          <w:rFonts w:ascii="Aptos" w:hAnsi="Aptos"/>
          <w:sz w:val="16"/>
        </w:rPr>
        <w:t>Local record control: owner __________________  evidence cut-off __________  next review __________  local version __________</w:t>
      </w:r>
    </w:p>
    <w:p>
      <w:pPr>
        <w:pageBreakBefore/>
        <w:spacing w:after="80"/>
      </w:pPr>
      <w:r>
        <w:rPr>
          <w:rFonts w:ascii="Aptos" w:hAnsi="Aptos"/>
          <w:color w:val="877567"/>
          <w:sz w:val="18"/>
        </w:rPr>
        <w:t>Part II — Organizational Performance, Workforce, and Quality</w:t>
      </w:r>
    </w:p>
    <w:p>
      <w:pPr>
        <w:pStyle w:val="Heading1"/>
      </w:pPr>
      <w:r>
        <w:t>AIHE-B03 — Benefit Realization and Capacity Conversion</w:t>
      </w:r>
    </w:p>
    <w:p>
      <w:pPr>
        <w:spacing w:after="80"/>
      </w:pPr>
      <w:r>
        <w:rPr>
          <w:color w:val="877567"/>
          <w:sz w:val="20"/>
        </w:rPr>
        <w:t>Chapter 4: Productivity, Work Redesign, and Implementation</w:t>
      </w:r>
    </w:p>
    <w:p>
      <w:r>
        <w:t>Translate claimed benefits into measurable mechanisms, owners, baselines, conversion conditions, and realized results.</w:t>
      </w:r>
    </w:p>
    <w:p>
      <w:r>
        <w:rPr>
          <w:rFonts w:ascii="Aptos" w:hAnsi="Aptos"/>
          <w:sz w:val="17"/>
        </w:rPr>
        <w:t>Resource: AIHE-B03  |  V1.0  |  Aligned chapters: 4, 6, 7, 12</w:t>
      </w:r>
    </w:p>
    <w:p>
      <w:r>
        <w:t>Complete the record with the people who own the evidence, workflow, budget, safeguards, and follow-up action. Distinguish documented evidence from assumptions and planned evidence collection. Record the exact intervention and version, accountable owner, decision conditions, evidence cut-off, review date, and trigger events.</w:t>
      </w:r>
    </w:p>
    <w:tbl>
      <w:tblPr>
        <w:tblW w:type="auto" w:w="0"/>
        <w:tblLayout w:type="fixed"/>
        <w:tblLook w:firstColumn="1" w:firstRow="1" w:lastColumn="0" w:lastRow="0" w:noHBand="0" w:noVBand="1" w:val="04A0"/>
        <w:tblBorders>
          <w:top w:val="single" w:sz="4" w:color="D9D0C2"/>
          <w:left w:val="single" w:sz="4" w:color="D9D0C2"/>
          <w:bottom w:val="single" w:sz="4" w:color="D9D0C2"/>
          <w:right w:val="single" w:sz="4" w:color="D9D0C2"/>
          <w:insideH w:val="single" w:sz="4" w:color="D9D0C2"/>
          <w:insideV w:val="single" w:sz="4" w:color="D9D0C2"/>
        </w:tblBorders>
        <w:tblCellMar>
          <w:top w:w="80" w:type="dxa"/>
          <w:left w:w="80" w:type="dxa"/>
          <w:bottom w:w="80" w:type="dxa"/>
          <w:right w:w="80" w:type="dxa"/>
        </w:tblCellMar>
      </w:tblPr>
      <w:tblGrid>
        <w:gridCol w:w="2794"/>
        <w:gridCol w:w="2794"/>
        <w:gridCol w:w="2794"/>
        <w:gridCol w:w="2794"/>
        <w:gridCol w:w="2794"/>
      </w:tblGrid>
      <w:tr>
        <w:trPr>
          <w:tblHeader/>
          <w:cantSplit/>
        </w:trPr>
        <w:tc>
          <w:tcPr>
            <w:tcW w:type="dxa" w:w="2794"/>
            <w:shd w:fill="6B2230" w:val="clear"/>
          </w:tcPr>
          <w:p>
            <w:pPr>
              <w:spacing w:after="60" w:before="60"/>
            </w:pPr>
            <w:r>
              <w:rPr>
                <w:rFonts w:ascii="Aptos" w:hAnsi="Aptos"/>
                <w:b/>
                <w:color w:val="FFFFFF"/>
                <w:sz w:val="18"/>
              </w:rPr>
              <w:t>Claimed benefit and comparator</w:t>
            </w:r>
          </w:p>
        </w:tc>
        <w:tc>
          <w:tcPr>
            <w:tcW w:type="dxa" w:w="2794"/>
            <w:shd w:fill="6B2230" w:val="clear"/>
          </w:tcPr>
          <w:p>
            <w:pPr>
              <w:spacing w:after="60" w:before="60"/>
            </w:pPr>
            <w:r>
              <w:rPr>
                <w:rFonts w:ascii="Aptos" w:hAnsi="Aptos"/>
                <w:b/>
                <w:color w:val="FFFFFF"/>
                <w:sz w:val="18"/>
              </w:rPr>
              <w:t>Causal mechanism, affected workflow, and distribution</w:t>
            </w:r>
          </w:p>
        </w:tc>
        <w:tc>
          <w:tcPr>
            <w:tcW w:type="dxa" w:w="2794"/>
            <w:shd w:fill="6B2230" w:val="clear"/>
          </w:tcPr>
          <w:p>
            <w:pPr>
              <w:spacing w:after="60" w:before="60"/>
            </w:pPr>
            <w:r>
              <w:rPr>
                <w:rFonts w:ascii="Aptos" w:hAnsi="Aptos"/>
                <w:b/>
                <w:color w:val="FFFFFF"/>
                <w:sz w:val="18"/>
              </w:rPr>
              <w:t>Measure, baseline, evidence, and attribution</w:t>
            </w:r>
          </w:p>
        </w:tc>
        <w:tc>
          <w:tcPr>
            <w:tcW w:type="dxa" w:w="2794"/>
            <w:shd w:fill="6B2230" w:val="clear"/>
          </w:tcPr>
          <w:p>
            <w:pPr>
              <w:spacing w:after="60" w:before="60"/>
            </w:pPr>
            <w:r>
              <w:rPr>
                <w:rFonts w:ascii="Aptos" w:hAnsi="Aptos"/>
                <w:b/>
                <w:color w:val="FFFFFF"/>
                <w:sz w:val="18"/>
              </w:rPr>
              <w:t>Owner, timing, and capacity-allocation decision</w:t>
            </w:r>
          </w:p>
        </w:tc>
        <w:tc>
          <w:tcPr>
            <w:tcW w:type="dxa" w:w="2794"/>
            <w:shd w:fill="6B2230" w:val="clear"/>
          </w:tcPr>
          <w:p>
            <w:pPr>
              <w:spacing w:after="60" w:before="60"/>
            </w:pPr>
            <w:r>
              <w:rPr>
                <w:rFonts w:ascii="Aptos" w:hAnsi="Aptos"/>
                <w:b/>
                <w:color w:val="FFFFFF"/>
                <w:sz w:val="18"/>
              </w:rPr>
              <w:t>Review burden, conversion condition, realized result, and financial treatment</w:t>
            </w:r>
          </w:p>
        </w:tc>
      </w:tr>
      <w:tr>
        <w:trPr>
          <w:cantSplit/>
        </w:trPr>
        <w:tc>
          <w:tcPr>
            <w:tcW w:type="dxa" w:w="2794"/>
            <w:shd w:fill="F5F0E7" w:val="clear"/>
          </w:tcPr>
          <w:p>
            <w:pPr>
              <w:spacing w:after="60" w:before="60" w:line="252" w:lineRule="auto"/>
            </w:pPr>
            <w:r>
              <w:rPr>
                <w:rFonts w:ascii="Aptos" w:hAnsi="Aptos"/>
                <w:color w:val="303236"/>
                <w:sz w:val="18"/>
              </w:rPr>
            </w:r>
          </w:p>
        </w:tc>
        <w:tc>
          <w:tcPr>
            <w:tcW w:type="dxa" w:w="2794"/>
            <w:shd w:fill="F5F0E7" w:val="clear"/>
          </w:tcPr>
          <w:p>
            <w:pPr>
              <w:spacing w:after="60" w:before="60" w:line="252" w:lineRule="auto"/>
            </w:pPr>
            <w:r>
              <w:rPr>
                <w:rFonts w:ascii="Aptos" w:hAnsi="Aptos"/>
                <w:color w:val="303236"/>
                <w:sz w:val="18"/>
              </w:rPr>
            </w:r>
          </w:p>
        </w:tc>
        <w:tc>
          <w:tcPr>
            <w:tcW w:type="dxa" w:w="2794"/>
            <w:shd w:fill="F5F0E7" w:val="clear"/>
          </w:tcPr>
          <w:p>
            <w:pPr>
              <w:spacing w:after="60" w:before="60" w:line="252" w:lineRule="auto"/>
            </w:pPr>
            <w:r>
              <w:rPr>
                <w:rFonts w:ascii="Aptos" w:hAnsi="Aptos"/>
                <w:color w:val="303236"/>
                <w:sz w:val="18"/>
              </w:rPr>
            </w:r>
          </w:p>
        </w:tc>
        <w:tc>
          <w:tcPr>
            <w:tcW w:type="dxa" w:w="2794"/>
            <w:shd w:fill="F5F0E7" w:val="clear"/>
          </w:tcPr>
          <w:p>
            <w:pPr>
              <w:spacing w:after="60" w:before="60" w:line="252" w:lineRule="auto"/>
            </w:pPr>
            <w:r>
              <w:rPr>
                <w:rFonts w:ascii="Aptos" w:hAnsi="Aptos"/>
                <w:color w:val="303236"/>
                <w:sz w:val="18"/>
              </w:rPr>
            </w:r>
          </w:p>
        </w:tc>
        <w:tc>
          <w:tcPr>
            <w:tcW w:type="dxa" w:w="2794"/>
            <w:shd w:fill="F5F0E7" w:val="clear"/>
          </w:tcPr>
          <w:p>
            <w:pPr>
              <w:spacing w:after="60" w:before="60" w:line="252" w:lineRule="auto"/>
            </w:pPr>
            <w:r>
              <w:rPr>
                <w:rFonts w:ascii="Aptos" w:hAnsi="Aptos"/>
                <w:color w:val="303236"/>
                <w:sz w:val="18"/>
              </w:rPr>
            </w:r>
          </w:p>
        </w:tc>
      </w:tr>
      <w:tr>
        <w:trPr>
          <w:cantSplit/>
        </w:trPr>
        <w:tc>
          <w:tcPr>
            <w:tcW w:type="dxa" w:w="2794"/>
          </w:tcPr>
          <w:p>
            <w:pPr>
              <w:spacing w:after="60" w:before="60" w:line="252" w:lineRule="auto"/>
            </w:pPr>
            <w:r>
              <w:rPr>
                <w:rFonts w:ascii="Aptos" w:hAnsi="Aptos"/>
                <w:color w:val="303236"/>
                <w:sz w:val="18"/>
              </w:rPr>
            </w:r>
          </w:p>
        </w:tc>
        <w:tc>
          <w:tcPr>
            <w:tcW w:type="dxa" w:w="2794"/>
          </w:tcPr>
          <w:p>
            <w:pPr>
              <w:spacing w:after="60" w:before="60" w:line="252" w:lineRule="auto"/>
            </w:pPr>
            <w:r>
              <w:rPr>
                <w:rFonts w:ascii="Aptos" w:hAnsi="Aptos"/>
                <w:color w:val="303236"/>
                <w:sz w:val="18"/>
              </w:rPr>
            </w:r>
          </w:p>
        </w:tc>
        <w:tc>
          <w:tcPr>
            <w:tcW w:type="dxa" w:w="2794"/>
          </w:tcPr>
          <w:p>
            <w:pPr>
              <w:spacing w:after="60" w:before="60" w:line="252" w:lineRule="auto"/>
            </w:pPr>
            <w:r>
              <w:rPr>
                <w:rFonts w:ascii="Aptos" w:hAnsi="Aptos"/>
                <w:color w:val="303236"/>
                <w:sz w:val="18"/>
              </w:rPr>
            </w:r>
          </w:p>
        </w:tc>
        <w:tc>
          <w:tcPr>
            <w:tcW w:type="dxa" w:w="2794"/>
          </w:tcPr>
          <w:p>
            <w:pPr>
              <w:spacing w:after="60" w:before="60" w:line="252" w:lineRule="auto"/>
            </w:pPr>
            <w:r>
              <w:rPr>
                <w:rFonts w:ascii="Aptos" w:hAnsi="Aptos"/>
                <w:color w:val="303236"/>
                <w:sz w:val="18"/>
              </w:rPr>
            </w:r>
          </w:p>
        </w:tc>
        <w:tc>
          <w:tcPr>
            <w:tcW w:type="dxa" w:w="2794"/>
          </w:tcPr>
          <w:p>
            <w:pPr>
              <w:spacing w:after="60" w:before="60" w:line="252" w:lineRule="auto"/>
            </w:pPr>
            <w:r>
              <w:rPr>
                <w:rFonts w:ascii="Aptos" w:hAnsi="Aptos"/>
                <w:color w:val="303236"/>
                <w:sz w:val="18"/>
              </w:rPr>
            </w:r>
          </w:p>
        </w:tc>
      </w:tr>
      <w:tr>
        <w:trPr>
          <w:cantSplit/>
        </w:trPr>
        <w:tc>
          <w:tcPr>
            <w:tcW w:type="dxa" w:w="2794"/>
            <w:shd w:fill="F5F0E7" w:val="clear"/>
          </w:tcPr>
          <w:p>
            <w:pPr>
              <w:spacing w:after="60" w:before="60" w:line="252" w:lineRule="auto"/>
            </w:pPr>
            <w:r>
              <w:rPr>
                <w:rFonts w:ascii="Aptos" w:hAnsi="Aptos"/>
                <w:color w:val="303236"/>
                <w:sz w:val="18"/>
              </w:rPr>
            </w:r>
          </w:p>
        </w:tc>
        <w:tc>
          <w:tcPr>
            <w:tcW w:type="dxa" w:w="2794"/>
            <w:shd w:fill="F5F0E7" w:val="clear"/>
          </w:tcPr>
          <w:p>
            <w:pPr>
              <w:spacing w:after="60" w:before="60" w:line="252" w:lineRule="auto"/>
            </w:pPr>
            <w:r>
              <w:rPr>
                <w:rFonts w:ascii="Aptos" w:hAnsi="Aptos"/>
                <w:color w:val="303236"/>
                <w:sz w:val="18"/>
              </w:rPr>
            </w:r>
          </w:p>
        </w:tc>
        <w:tc>
          <w:tcPr>
            <w:tcW w:type="dxa" w:w="2794"/>
            <w:shd w:fill="F5F0E7" w:val="clear"/>
          </w:tcPr>
          <w:p>
            <w:pPr>
              <w:spacing w:after="60" w:before="60" w:line="252" w:lineRule="auto"/>
            </w:pPr>
            <w:r>
              <w:rPr>
                <w:rFonts w:ascii="Aptos" w:hAnsi="Aptos"/>
                <w:color w:val="303236"/>
                <w:sz w:val="18"/>
              </w:rPr>
            </w:r>
          </w:p>
        </w:tc>
        <w:tc>
          <w:tcPr>
            <w:tcW w:type="dxa" w:w="2794"/>
            <w:shd w:fill="F5F0E7" w:val="clear"/>
          </w:tcPr>
          <w:p>
            <w:pPr>
              <w:spacing w:after="60" w:before="60" w:line="252" w:lineRule="auto"/>
            </w:pPr>
            <w:r>
              <w:rPr>
                <w:rFonts w:ascii="Aptos" w:hAnsi="Aptos"/>
                <w:color w:val="303236"/>
                <w:sz w:val="18"/>
              </w:rPr>
            </w:r>
          </w:p>
        </w:tc>
        <w:tc>
          <w:tcPr>
            <w:tcW w:type="dxa" w:w="2794"/>
            <w:shd w:fill="F5F0E7" w:val="clear"/>
          </w:tcPr>
          <w:p>
            <w:pPr>
              <w:spacing w:after="60" w:before="60" w:line="252" w:lineRule="auto"/>
            </w:pPr>
            <w:r>
              <w:rPr>
                <w:rFonts w:ascii="Aptos" w:hAnsi="Aptos"/>
                <w:color w:val="303236"/>
                <w:sz w:val="18"/>
              </w:rPr>
            </w:r>
          </w:p>
        </w:tc>
      </w:tr>
      <w:tr>
        <w:trPr>
          <w:cantSplit/>
        </w:trPr>
        <w:tc>
          <w:tcPr>
            <w:tcW w:type="dxa" w:w="2794"/>
          </w:tcPr>
          <w:p>
            <w:pPr>
              <w:spacing w:after="60" w:before="60" w:line="252" w:lineRule="auto"/>
            </w:pPr>
            <w:r>
              <w:rPr>
                <w:rFonts w:ascii="Aptos" w:hAnsi="Aptos"/>
                <w:color w:val="303236"/>
                <w:sz w:val="18"/>
              </w:rPr>
            </w:r>
          </w:p>
        </w:tc>
        <w:tc>
          <w:tcPr>
            <w:tcW w:type="dxa" w:w="2794"/>
          </w:tcPr>
          <w:p>
            <w:pPr>
              <w:spacing w:after="60" w:before="60" w:line="252" w:lineRule="auto"/>
            </w:pPr>
            <w:r>
              <w:rPr>
                <w:rFonts w:ascii="Aptos" w:hAnsi="Aptos"/>
                <w:color w:val="303236"/>
                <w:sz w:val="18"/>
              </w:rPr>
            </w:r>
          </w:p>
        </w:tc>
        <w:tc>
          <w:tcPr>
            <w:tcW w:type="dxa" w:w="2794"/>
          </w:tcPr>
          <w:p>
            <w:pPr>
              <w:spacing w:after="60" w:before="60" w:line="252" w:lineRule="auto"/>
            </w:pPr>
            <w:r>
              <w:rPr>
                <w:rFonts w:ascii="Aptos" w:hAnsi="Aptos"/>
                <w:color w:val="303236"/>
                <w:sz w:val="18"/>
              </w:rPr>
            </w:r>
          </w:p>
        </w:tc>
        <w:tc>
          <w:tcPr>
            <w:tcW w:type="dxa" w:w="2794"/>
          </w:tcPr>
          <w:p>
            <w:pPr>
              <w:spacing w:after="60" w:before="60" w:line="252" w:lineRule="auto"/>
            </w:pPr>
            <w:r>
              <w:rPr>
                <w:rFonts w:ascii="Aptos" w:hAnsi="Aptos"/>
                <w:color w:val="303236"/>
                <w:sz w:val="18"/>
              </w:rPr>
            </w:r>
          </w:p>
        </w:tc>
        <w:tc>
          <w:tcPr>
            <w:tcW w:type="dxa" w:w="2794"/>
          </w:tcPr>
          <w:p>
            <w:pPr>
              <w:spacing w:after="60" w:before="60" w:line="252" w:lineRule="auto"/>
            </w:pPr>
            <w:r>
              <w:rPr>
                <w:rFonts w:ascii="Aptos" w:hAnsi="Aptos"/>
                <w:color w:val="303236"/>
                <w:sz w:val="18"/>
              </w:rPr>
            </w:r>
          </w:p>
        </w:tc>
      </w:tr>
    </w:tbl>
    <w:p>
      <w:r>
        <w:rPr>
          <w:rFonts w:ascii="Aptos" w:hAnsi="Aptos"/>
          <w:sz w:val="16"/>
        </w:rPr>
        <w:t>Local record control: owner __________________  evidence cut-off __________  next review __________  local version __________</w:t>
      </w:r>
    </w:p>
    <w:p>
      <w:pPr>
        <w:pageBreakBefore/>
        <w:spacing w:after="80"/>
      </w:pPr>
      <w:r>
        <w:rPr>
          <w:rFonts w:ascii="Aptos" w:hAnsi="Aptos"/>
          <w:color w:val="877567"/>
          <w:sz w:val="18"/>
        </w:rPr>
        <w:t>Part II — Organizational Performance, Workforce, and Quality</w:t>
      </w:r>
    </w:p>
    <w:p>
      <w:pPr>
        <w:pStyle w:val="Heading1"/>
      </w:pPr>
      <w:r>
        <w:t>AIHE-C01 — AI Quality-Control and Accreditation Evidence Plan</w:t>
      </w:r>
    </w:p>
    <w:p>
      <w:pPr>
        <w:spacing w:after="80"/>
      </w:pPr>
      <w:r>
        <w:rPr>
          <w:color w:val="877567"/>
          <w:sz w:val="20"/>
        </w:rPr>
        <w:t>Chapter 5: Quality Management, Accreditation, and Organizational Learning</w:t>
      </w:r>
    </w:p>
    <w:p>
      <w:r>
        <w:t>Integrate AI-enabled services into quality control, accreditation evidence, monitoring, thresholds, action, and closure.</w:t>
      </w:r>
    </w:p>
    <w:p>
      <w:r>
        <w:rPr>
          <w:rFonts w:ascii="Aptos" w:hAnsi="Aptos"/>
          <w:sz w:val="17"/>
        </w:rPr>
        <w:t>Resource: AIHE-C01  |  V1.0  |  Aligned chapters: 5, 10, 11, 12</w:t>
      </w:r>
    </w:p>
    <w:p>
      <w:r>
        <w:t>Complete the record with the people who own the evidence, workflow, budget, safeguards, and follow-up action. Distinguish documented evidence from assumptions and planned evidence collection. Record the exact intervention and version, accountable owner, decision conditions, evidence cut-off, review date, and trigger events.</w:t>
      </w:r>
    </w:p>
    <w:tbl>
      <w:tblPr>
        <w:tblW w:type="auto" w:w="0"/>
        <w:tblLayout w:type="fixed"/>
        <w:tblLook w:firstColumn="1" w:firstRow="1" w:lastColumn="0" w:lastRow="0" w:noHBand="0" w:noVBand="1" w:val="04A0"/>
        <w:tblBorders>
          <w:top w:val="single" w:sz="4" w:color="D9D0C2"/>
          <w:left w:val="single" w:sz="4" w:color="D9D0C2"/>
          <w:bottom w:val="single" w:sz="4" w:color="D9D0C2"/>
          <w:right w:val="single" w:sz="4" w:color="D9D0C2"/>
          <w:insideH w:val="single" w:sz="4" w:color="D9D0C2"/>
          <w:insideV w:val="single" w:sz="4" w:color="D9D0C2"/>
        </w:tblBorders>
        <w:tblCellMar>
          <w:top w:w="80" w:type="dxa"/>
          <w:left w:w="80" w:type="dxa"/>
          <w:bottom w:w="80" w:type="dxa"/>
          <w:right w:w="80" w:type="dxa"/>
        </w:tblCellMar>
      </w:tblPr>
      <w:tblGrid>
        <w:gridCol w:w="2794"/>
        <w:gridCol w:w="1862"/>
        <w:gridCol w:w="1862"/>
        <w:gridCol w:w="1862"/>
        <w:gridCol w:w="1862"/>
        <w:gridCol w:w="1862"/>
        <w:gridCol w:w="1862"/>
      </w:tblGrid>
      <w:tr>
        <w:trPr>
          <w:tblHeader/>
          <w:cantSplit/>
        </w:trPr>
        <w:tc>
          <w:tcPr>
            <w:tcW w:type="dxa" w:w="2794"/>
            <w:shd w:fill="6B2230" w:val="clear"/>
          </w:tcPr>
          <w:p>
            <w:pPr>
              <w:spacing w:after="60" w:before="60"/>
            </w:pPr>
            <w:r>
              <w:rPr>
                <w:rFonts w:ascii="Aptos" w:hAnsi="Aptos"/>
                <w:b/>
                <w:color w:val="FFFFFF"/>
                <w:sz w:val="17"/>
              </w:rPr>
              <w:t>Quality domain or requirement</w:t>
            </w:r>
          </w:p>
        </w:tc>
        <w:tc>
          <w:tcPr>
            <w:tcW w:type="dxa" w:w="1862"/>
            <w:shd w:fill="6B2230" w:val="clear"/>
          </w:tcPr>
          <w:p>
            <w:pPr>
              <w:spacing w:after="60" w:before="60"/>
            </w:pPr>
            <w:r>
              <w:rPr>
                <w:rFonts w:ascii="Aptos" w:hAnsi="Aptos"/>
                <w:b/>
                <w:color w:val="FFFFFF"/>
                <w:sz w:val="17"/>
              </w:rPr>
              <w:t>Signal, measure, definition, and source</w:t>
            </w:r>
          </w:p>
        </w:tc>
        <w:tc>
          <w:tcPr>
            <w:tcW w:type="dxa" w:w="1862"/>
            <w:shd w:fill="6B2230" w:val="clear"/>
          </w:tcPr>
          <w:p>
            <w:pPr>
              <w:spacing w:after="60" w:before="60"/>
            </w:pPr>
            <w:r>
              <w:rPr>
                <w:rFonts w:ascii="Aptos" w:hAnsi="Aptos"/>
                <w:b/>
                <w:color w:val="FFFFFF"/>
                <w:sz w:val="17"/>
              </w:rPr>
              <w:t>System, data, and workflow version</w:t>
            </w:r>
          </w:p>
        </w:tc>
        <w:tc>
          <w:tcPr>
            <w:tcW w:type="dxa" w:w="1862"/>
            <w:shd w:fill="6B2230" w:val="clear"/>
          </w:tcPr>
          <w:p>
            <w:pPr>
              <w:spacing w:after="60" w:before="60"/>
            </w:pPr>
            <w:r>
              <w:rPr>
                <w:rFonts w:ascii="Aptos" w:hAnsi="Aptos"/>
                <w:b/>
                <w:color w:val="FFFFFF"/>
                <w:sz w:val="17"/>
              </w:rPr>
              <w:t>Review frequency, reviewer, and triage rule</w:t>
            </w:r>
          </w:p>
        </w:tc>
        <w:tc>
          <w:tcPr>
            <w:tcW w:type="dxa" w:w="1862"/>
            <w:shd w:fill="6B2230" w:val="clear"/>
          </w:tcPr>
          <w:p>
            <w:pPr>
              <w:spacing w:after="60" w:before="60"/>
            </w:pPr>
            <w:r>
              <w:rPr>
                <w:rFonts w:ascii="Aptos" w:hAnsi="Aptos"/>
                <w:b/>
                <w:color w:val="FFFFFF"/>
                <w:sz w:val="17"/>
              </w:rPr>
              <w:t>Control, clinical, or institutional threshold</w:t>
            </w:r>
          </w:p>
        </w:tc>
        <w:tc>
          <w:tcPr>
            <w:tcW w:type="dxa" w:w="1862"/>
            <w:shd w:fill="6B2230" w:val="clear"/>
          </w:tcPr>
          <w:p>
            <w:pPr>
              <w:spacing w:after="60" w:before="60"/>
            </w:pPr>
            <w:r>
              <w:rPr>
                <w:rFonts w:ascii="Aptos" w:hAnsi="Aptos"/>
                <w:b/>
                <w:color w:val="FFFFFF"/>
                <w:sz w:val="17"/>
              </w:rPr>
              <w:t>Escalation, investigation, and corrective action</w:t>
            </w:r>
          </w:p>
        </w:tc>
        <w:tc>
          <w:tcPr>
            <w:tcW w:type="dxa" w:w="1862"/>
            <w:shd w:fill="6B2230" w:val="clear"/>
          </w:tcPr>
          <w:p>
            <w:pPr>
              <w:spacing w:after="60" w:before="60"/>
            </w:pPr>
            <w:r>
              <w:rPr>
                <w:rFonts w:ascii="Aptos" w:hAnsi="Aptos"/>
                <w:b/>
                <w:color w:val="FFFFFF"/>
                <w:sz w:val="17"/>
              </w:rPr>
              <w:t>Effectiveness verification, closure authority, and learning</w:t>
            </w:r>
          </w:p>
        </w:tc>
      </w:tr>
      <w:tr>
        <w:trPr>
          <w:cantSplit/>
        </w:trPr>
        <w:tc>
          <w:tcPr>
            <w:tcW w:type="dxa" w:w="2794"/>
            <w:shd w:fill="F5F0E7" w:val="clear"/>
          </w:tcPr>
          <w:p>
            <w:pPr>
              <w:spacing w:after="60" w:before="60" w:line="252" w:lineRule="auto"/>
            </w:pPr>
            <w:r>
              <w:rPr>
                <w:rFonts w:ascii="Aptos" w:hAnsi="Aptos"/>
                <w:color w:val="303236"/>
                <w:sz w:val="17"/>
              </w:rPr>
              <w:t>Technical reliability</w:t>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r>
      <w:tr>
        <w:trPr>
          <w:cantSplit/>
        </w:trPr>
        <w:tc>
          <w:tcPr>
            <w:tcW w:type="dxa" w:w="2794"/>
          </w:tcPr>
          <w:p>
            <w:pPr>
              <w:spacing w:after="60" w:before="60" w:line="252" w:lineRule="auto"/>
            </w:pPr>
            <w:r>
              <w:rPr>
                <w:rFonts w:ascii="Aptos" w:hAnsi="Aptos"/>
                <w:color w:val="303236"/>
                <w:sz w:val="17"/>
              </w:rPr>
              <w:t>Model and human–AI performance</w:t>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r>
      <w:tr>
        <w:trPr>
          <w:cantSplit/>
        </w:trPr>
        <w:tc>
          <w:tcPr>
            <w:tcW w:type="dxa" w:w="2794"/>
            <w:shd w:fill="F5F0E7" w:val="clear"/>
          </w:tcPr>
          <w:p>
            <w:pPr>
              <w:spacing w:after="60" w:before="60" w:line="252" w:lineRule="auto"/>
            </w:pPr>
            <w:r>
              <w:rPr>
                <w:rFonts w:ascii="Aptos" w:hAnsi="Aptos"/>
                <w:color w:val="303236"/>
                <w:sz w:val="17"/>
              </w:rPr>
              <w:t>Clinical safety and outcome</w:t>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r>
      <w:tr>
        <w:trPr>
          <w:cantSplit/>
        </w:trPr>
        <w:tc>
          <w:tcPr>
            <w:tcW w:type="dxa" w:w="2794"/>
          </w:tcPr>
          <w:p>
            <w:pPr>
              <w:spacing w:after="60" w:before="60" w:line="252" w:lineRule="auto"/>
            </w:pPr>
            <w:r>
              <w:rPr>
                <w:rFonts w:ascii="Aptos" w:hAnsi="Aptos"/>
                <w:color w:val="303236"/>
                <w:sz w:val="17"/>
              </w:rPr>
              <w:t>Workflow and professional practice</w:t>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r>
      <w:tr>
        <w:trPr>
          <w:cantSplit/>
        </w:trPr>
        <w:tc>
          <w:tcPr>
            <w:tcW w:type="dxa" w:w="2794"/>
            <w:shd w:fill="F5F0E7" w:val="clear"/>
          </w:tcPr>
          <w:p>
            <w:pPr>
              <w:spacing w:after="60" w:before="60" w:line="252" w:lineRule="auto"/>
            </w:pPr>
            <w:r>
              <w:rPr>
                <w:rFonts w:ascii="Aptos" w:hAnsi="Aptos"/>
                <w:color w:val="303236"/>
                <w:sz w:val="17"/>
              </w:rPr>
              <w:t>Patient experience and communication</w:t>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r>
      <w:tr>
        <w:trPr>
          <w:cantSplit/>
        </w:trPr>
        <w:tc>
          <w:tcPr>
            <w:tcW w:type="dxa" w:w="2794"/>
          </w:tcPr>
          <w:p>
            <w:pPr>
              <w:spacing w:after="60" w:before="60" w:line="252" w:lineRule="auto"/>
            </w:pPr>
            <w:r>
              <w:rPr>
                <w:rFonts w:ascii="Aptos" w:hAnsi="Aptos"/>
                <w:color w:val="303236"/>
                <w:sz w:val="17"/>
              </w:rPr>
              <w:t>Equity and access</w:t>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r>
      <w:tr>
        <w:trPr>
          <w:cantSplit/>
        </w:trPr>
        <w:tc>
          <w:tcPr>
            <w:tcW w:type="dxa" w:w="2794"/>
            <w:shd w:fill="F5F0E7" w:val="clear"/>
          </w:tcPr>
          <w:p>
            <w:pPr>
              <w:spacing w:after="60" w:before="60" w:line="252" w:lineRule="auto"/>
            </w:pPr>
            <w:r>
              <w:rPr>
                <w:rFonts w:ascii="Aptos" w:hAnsi="Aptos"/>
                <w:color w:val="303236"/>
                <w:sz w:val="17"/>
              </w:rPr>
              <w:t>Economic and resource value</w:t>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c>
          <w:tcPr>
            <w:tcW w:type="dxa" w:w="1862"/>
            <w:shd w:fill="F5F0E7" w:val="clear"/>
          </w:tcPr>
          <w:p>
            <w:pPr>
              <w:spacing w:after="60" w:before="60" w:line="252" w:lineRule="auto"/>
            </w:pPr>
            <w:r>
              <w:rPr>
                <w:rFonts w:ascii="Aptos" w:hAnsi="Aptos"/>
                <w:color w:val="303236"/>
                <w:sz w:val="17"/>
              </w:rPr>
            </w:r>
          </w:p>
        </w:tc>
      </w:tr>
      <w:tr>
        <w:trPr>
          <w:cantSplit/>
        </w:trPr>
        <w:tc>
          <w:tcPr>
            <w:tcW w:type="dxa" w:w="2794"/>
          </w:tcPr>
          <w:p>
            <w:pPr>
              <w:spacing w:after="60" w:before="60" w:line="252" w:lineRule="auto"/>
            </w:pPr>
            <w:r>
              <w:rPr>
                <w:rFonts w:ascii="Aptos" w:hAnsi="Aptos"/>
                <w:color w:val="303236"/>
                <w:sz w:val="17"/>
              </w:rPr>
              <w:t>Governance and documentation</w:t>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c>
          <w:tcPr>
            <w:tcW w:type="dxa" w:w="1862"/>
          </w:tcPr>
          <w:p>
            <w:pPr>
              <w:spacing w:after="60" w:before="60" w:line="252" w:lineRule="auto"/>
            </w:pPr>
            <w:r>
              <w:rPr>
                <w:rFonts w:ascii="Aptos" w:hAnsi="Aptos"/>
                <w:color w:val="303236"/>
                <w:sz w:val="17"/>
              </w:rPr>
            </w:r>
          </w:p>
        </w:tc>
      </w:tr>
    </w:tbl>
    <w:p>
      <w:r>
        <w:rPr>
          <w:rFonts w:ascii="Aptos" w:hAnsi="Aptos"/>
          <w:sz w:val="16"/>
        </w:rPr>
        <w:t>Local record control: owner __________________  evidence cut-off __________  next review __________  local version __________</w:t>
      </w:r>
    </w:p>
    <w:p>
      <w:pPr>
        <w:pageBreakBefore/>
        <w:spacing w:after="80"/>
      </w:pPr>
      <w:r>
        <w:rPr>
          <w:rFonts w:ascii="Aptos" w:hAnsi="Aptos"/>
          <w:color w:val="877567"/>
          <w:sz w:val="18"/>
        </w:rPr>
        <w:t>Part II — Organizational Performance, Workforce, and Quality</w:t>
      </w:r>
    </w:p>
    <w:p>
      <w:pPr>
        <w:pStyle w:val="Heading1"/>
      </w:pPr>
      <w:r>
        <w:t>AIHE-C02 — Corrective and Preventive Action Record</w:t>
      </w:r>
    </w:p>
    <w:p>
      <w:pPr>
        <w:spacing w:after="80"/>
      </w:pPr>
      <w:r>
        <w:rPr>
          <w:color w:val="877567"/>
          <w:sz w:val="20"/>
        </w:rPr>
        <w:t>Chapter 5: Quality Management, Accreditation, and Organizational Learning</w:t>
      </w:r>
    </w:p>
    <w:p>
      <w:r>
        <w:t>Document nonconformity, containment, causal analysis, corrective and preventive action, effectiveness, residual risk, and closure.</w:t>
      </w:r>
    </w:p>
    <w:p>
      <w:r>
        <w:rPr>
          <w:rFonts w:ascii="Aptos" w:hAnsi="Aptos"/>
          <w:sz w:val="17"/>
        </w:rPr>
        <w:t>Resource: AIHE-C02  |  V1.0  |  Aligned chapters: 5, 10, 12</w:t>
      </w:r>
    </w:p>
    <w:p>
      <w:r>
        <w:t>Complete the record with the people who own the evidence, workflow, budget, safeguards, and follow-up action. Distinguish documented evidence from assumptions and planned evidence collection. Record the exact intervention and version, accountable owner, decision conditions, evidence cut-off, review date, and trigger events.</w:t>
      </w:r>
    </w:p>
    <w:tbl>
      <w:tblPr>
        <w:tblW w:type="auto" w:w="0"/>
        <w:tblLayout w:type="fixed"/>
        <w:tblLook w:firstColumn="1" w:firstRow="1" w:lastColumn="0" w:lastRow="0" w:noHBand="0" w:noVBand="1" w:val="04A0"/>
        <w:tblBorders>
          <w:top w:val="single" w:sz="4" w:color="D9D0C2"/>
          <w:left w:val="single" w:sz="4" w:color="D9D0C2"/>
          <w:bottom w:val="single" w:sz="4" w:color="D9D0C2"/>
          <w:right w:val="single" w:sz="4" w:color="D9D0C2"/>
          <w:insideH w:val="single" w:sz="4" w:color="D9D0C2"/>
          <w:insideV w:val="single" w:sz="4" w:color="D9D0C2"/>
        </w:tblBorders>
        <w:tblCellMar>
          <w:top w:w="80" w:type="dxa"/>
          <w:left w:w="80" w:type="dxa"/>
          <w:bottom w:w="80" w:type="dxa"/>
          <w:right w:w="80" w:type="dxa"/>
        </w:tblCellMar>
      </w:tblPr>
      <w:tblGrid>
        <w:gridCol w:w="3175"/>
        <w:gridCol w:w="6349"/>
        <w:gridCol w:w="4444"/>
      </w:tblGrid>
      <w:tr>
        <w:trPr>
          <w:tblHeader/>
          <w:cantSplit/>
        </w:trPr>
        <w:tc>
          <w:tcPr>
            <w:tcW w:type="dxa" w:w="3175"/>
            <w:shd w:fill="6B2230" w:val="clear"/>
          </w:tcPr>
          <w:p>
            <w:pPr>
              <w:spacing w:after="30" w:before="30"/>
            </w:pPr>
            <w:r>
              <w:rPr>
                <w:rFonts w:ascii="Aptos" w:hAnsi="Aptos"/>
                <w:b/>
                <w:color w:val="FFFFFF"/>
                <w:sz w:val="18"/>
              </w:rPr>
              <w:t>Field</w:t>
            </w:r>
          </w:p>
        </w:tc>
        <w:tc>
          <w:tcPr>
            <w:tcW w:type="dxa" w:w="6349"/>
            <w:shd w:fill="6B2230" w:val="clear"/>
          </w:tcPr>
          <w:p>
            <w:pPr>
              <w:spacing w:after="30" w:before="30"/>
            </w:pPr>
            <w:r>
              <w:rPr>
                <w:rFonts w:ascii="Aptos" w:hAnsi="Aptos"/>
                <w:b/>
                <w:color w:val="FFFFFF"/>
                <w:sz w:val="18"/>
              </w:rPr>
              <w:t>Guidance</w:t>
            </w:r>
          </w:p>
        </w:tc>
        <w:tc>
          <w:tcPr>
            <w:tcW w:type="dxa" w:w="4444"/>
            <w:shd w:fill="6B2230" w:val="clear"/>
          </w:tcPr>
          <w:p>
            <w:pPr>
              <w:spacing w:after="30" w:before="30"/>
            </w:pPr>
            <w:r>
              <w:rPr>
                <w:rFonts w:ascii="Aptos" w:hAnsi="Aptos"/>
                <w:b/>
                <w:color w:val="FFFFFF"/>
                <w:sz w:val="18"/>
              </w:rPr>
              <w:t>Institutional response</w:t>
            </w:r>
          </w:p>
        </w:tc>
      </w:tr>
      <w:tr>
        <w:trPr>
          <w:cantSplit/>
        </w:trPr>
        <w:tc>
          <w:tcPr>
            <w:tcW w:type="dxa" w:w="3175"/>
            <w:shd w:fill="F5F0E7" w:val="clear"/>
          </w:tcPr>
          <w:p>
            <w:pPr>
              <w:spacing w:after="30" w:before="30" w:line="252" w:lineRule="auto"/>
            </w:pPr>
            <w:r>
              <w:rPr>
                <w:rFonts w:ascii="Aptos" w:hAnsi="Aptos"/>
                <w:color w:val="303236"/>
                <w:sz w:val="18"/>
              </w:rPr>
              <w:t>Signal, triage, and scope</w:t>
            </w:r>
          </w:p>
        </w:tc>
        <w:tc>
          <w:tcPr>
            <w:tcW w:type="dxa" w:w="6349"/>
            <w:shd w:fill="F5F0E7" w:val="clear"/>
          </w:tcPr>
          <w:p>
            <w:pPr>
              <w:spacing w:after="30" w:before="30" w:line="252" w:lineRule="auto"/>
            </w:pPr>
            <w:r>
              <w:rPr>
                <w:rFonts w:ascii="Aptos" w:hAnsi="Aptos"/>
                <w:color w:val="303236"/>
                <w:sz w:val="18"/>
              </w:rPr>
              <w:t>Describe the indicator, incident, complaint, audit finding, accreditation gap, threshold breach, affected system or version, and triage decision.</w:t>
            </w:r>
          </w:p>
        </w:tc>
        <w:tc>
          <w:tcPr>
            <w:tcW w:type="dxa" w:w="4444"/>
            <w:shd w:fill="F5F0E7" w:val="clear"/>
          </w:tcPr>
          <w:p>
            <w:pPr>
              <w:spacing w:after="30" w:before="30" w:line="252" w:lineRule="auto"/>
            </w:pPr>
            <w:r>
              <w:rPr>
                <w:rFonts w:ascii="Aptos" w:hAnsi="Aptos"/>
                <w:color w:val="303236"/>
                <w:sz w:val="18"/>
              </w:rPr>
            </w:r>
          </w:p>
        </w:tc>
      </w:tr>
      <w:tr>
        <w:trPr>
          <w:cantSplit/>
        </w:trPr>
        <w:tc>
          <w:tcPr>
            <w:tcW w:type="dxa" w:w="3175"/>
          </w:tcPr>
          <w:p>
            <w:pPr>
              <w:spacing w:after="30" w:before="30" w:line="252" w:lineRule="auto"/>
            </w:pPr>
            <w:r>
              <w:rPr>
                <w:rFonts w:ascii="Aptos" w:hAnsi="Aptos"/>
                <w:color w:val="303236"/>
                <w:sz w:val="18"/>
              </w:rPr>
              <w:t>Immediate containment</w:t>
            </w:r>
          </w:p>
        </w:tc>
        <w:tc>
          <w:tcPr>
            <w:tcW w:type="dxa" w:w="6349"/>
          </w:tcPr>
          <w:p>
            <w:pPr>
              <w:spacing w:after="30" w:before="30" w:line="252" w:lineRule="auto"/>
            </w:pPr>
            <w:r>
              <w:rPr>
                <w:rFonts w:ascii="Aptos" w:hAnsi="Aptos"/>
                <w:color w:val="303236"/>
                <w:sz w:val="18"/>
              </w:rPr>
              <w:t>Record protections for patients, staff, data, service continuity, and evidence, including restriction, rollback, or pause.</w:t>
            </w:r>
          </w:p>
        </w:tc>
        <w:tc>
          <w:tcPr>
            <w:tcW w:type="dxa" w:w="4444"/>
          </w:tcPr>
          <w:p>
            <w:pPr>
              <w:spacing w:after="30" w:before="30" w:line="252" w:lineRule="auto"/>
            </w:pPr>
            <w:r>
              <w:rPr>
                <w:rFonts w:ascii="Aptos" w:hAnsi="Aptos"/>
                <w:color w:val="303236"/>
                <w:sz w:val="18"/>
              </w:rPr>
            </w:r>
          </w:p>
        </w:tc>
      </w:tr>
      <w:tr>
        <w:trPr>
          <w:cantSplit/>
        </w:trPr>
        <w:tc>
          <w:tcPr>
            <w:tcW w:type="dxa" w:w="3175"/>
            <w:shd w:fill="F5F0E7" w:val="clear"/>
          </w:tcPr>
          <w:p>
            <w:pPr>
              <w:spacing w:after="30" w:before="30" w:line="252" w:lineRule="auto"/>
            </w:pPr>
            <w:r>
              <w:rPr>
                <w:rFonts w:ascii="Aptos" w:hAnsi="Aptos"/>
                <w:color w:val="303236"/>
                <w:sz w:val="18"/>
              </w:rPr>
              <w:t>Reconstruction and evidence preservation</w:t>
            </w:r>
          </w:p>
        </w:tc>
        <w:tc>
          <w:tcPr>
            <w:tcW w:type="dxa" w:w="6349"/>
            <w:shd w:fill="F5F0E7" w:val="clear"/>
          </w:tcPr>
          <w:p>
            <w:pPr>
              <w:spacing w:after="30" w:before="30" w:line="252" w:lineRule="auto"/>
            </w:pPr>
            <w:r>
              <w:rPr>
                <w:rFonts w:ascii="Aptos" w:hAnsi="Aptos"/>
                <w:color w:val="303236"/>
                <w:sz w:val="18"/>
              </w:rPr>
              <w:t>Preserve the data state, model, software and configuration version, output, human action, timing, workload, communication, and context.</w:t>
            </w:r>
          </w:p>
        </w:tc>
        <w:tc>
          <w:tcPr>
            <w:tcW w:type="dxa" w:w="4444"/>
            <w:shd w:fill="F5F0E7" w:val="clear"/>
          </w:tcPr>
          <w:p>
            <w:pPr>
              <w:spacing w:after="30" w:before="30" w:line="252" w:lineRule="auto"/>
            </w:pPr>
            <w:r>
              <w:rPr>
                <w:rFonts w:ascii="Aptos" w:hAnsi="Aptos"/>
                <w:color w:val="303236"/>
                <w:sz w:val="18"/>
              </w:rPr>
            </w:r>
          </w:p>
        </w:tc>
      </w:tr>
      <w:tr>
        <w:trPr>
          <w:cantSplit/>
        </w:trPr>
        <w:tc>
          <w:tcPr>
            <w:tcW w:type="dxa" w:w="3175"/>
          </w:tcPr>
          <w:p>
            <w:pPr>
              <w:spacing w:after="30" w:before="30" w:line="252" w:lineRule="auto"/>
            </w:pPr>
            <w:r>
              <w:rPr>
                <w:rFonts w:ascii="Aptos" w:hAnsi="Aptos"/>
                <w:color w:val="303236"/>
                <w:sz w:val="18"/>
              </w:rPr>
              <w:t>Causal analysis</w:t>
            </w:r>
          </w:p>
        </w:tc>
        <w:tc>
          <w:tcPr>
            <w:tcW w:type="dxa" w:w="6349"/>
          </w:tcPr>
          <w:p>
            <w:pPr>
              <w:spacing w:after="30" w:before="30" w:line="252" w:lineRule="auto"/>
            </w:pPr>
            <w:r>
              <w:rPr>
                <w:rFonts w:ascii="Aptos" w:hAnsi="Aptos"/>
                <w:color w:val="303236"/>
                <w:sz w:val="18"/>
              </w:rPr>
              <w:t>Identify confirmed and competing technical, clinical, workflow, organizational, supplier, contractual, and governance causes.</w:t>
            </w:r>
          </w:p>
        </w:tc>
        <w:tc>
          <w:tcPr>
            <w:tcW w:type="dxa" w:w="4444"/>
          </w:tcPr>
          <w:p>
            <w:pPr>
              <w:spacing w:after="30" w:before="30" w:line="252" w:lineRule="auto"/>
            </w:pPr>
            <w:r>
              <w:rPr>
                <w:rFonts w:ascii="Aptos" w:hAnsi="Aptos"/>
                <w:color w:val="303236"/>
                <w:sz w:val="18"/>
              </w:rPr>
            </w:r>
          </w:p>
        </w:tc>
      </w:tr>
      <w:tr>
        <w:trPr>
          <w:cantSplit/>
        </w:trPr>
        <w:tc>
          <w:tcPr>
            <w:tcW w:type="dxa" w:w="3175"/>
            <w:shd w:fill="F5F0E7" w:val="clear"/>
          </w:tcPr>
          <w:p>
            <w:pPr>
              <w:spacing w:after="30" w:before="30" w:line="252" w:lineRule="auto"/>
            </w:pPr>
            <w:r>
              <w:rPr>
                <w:rFonts w:ascii="Aptos" w:hAnsi="Aptos"/>
                <w:color w:val="303236"/>
                <w:sz w:val="18"/>
              </w:rPr>
              <w:t>Corrective action</w:t>
            </w:r>
          </w:p>
        </w:tc>
        <w:tc>
          <w:tcPr>
            <w:tcW w:type="dxa" w:w="6349"/>
            <w:shd w:fill="F5F0E7" w:val="clear"/>
          </w:tcPr>
          <w:p>
            <w:pPr>
              <w:spacing w:after="30" w:before="30" w:line="252" w:lineRule="auto"/>
            </w:pPr>
            <w:r>
              <w:rPr>
                <w:rFonts w:ascii="Aptos" w:hAnsi="Aptos"/>
                <w:color w:val="303236"/>
                <w:sz w:val="18"/>
              </w:rPr>
              <w:t>Define the action, accountable owner, due date, revalidation, communication, supplier response, and implication for the current decision state.</w:t>
            </w:r>
          </w:p>
        </w:tc>
        <w:tc>
          <w:tcPr>
            <w:tcW w:type="dxa" w:w="4444"/>
            <w:shd w:fill="F5F0E7" w:val="clear"/>
          </w:tcPr>
          <w:p>
            <w:pPr>
              <w:spacing w:after="30" w:before="30" w:line="252" w:lineRule="auto"/>
            </w:pPr>
            <w:r>
              <w:rPr>
                <w:rFonts w:ascii="Aptos" w:hAnsi="Aptos"/>
                <w:color w:val="303236"/>
                <w:sz w:val="18"/>
              </w:rPr>
            </w:r>
          </w:p>
        </w:tc>
      </w:tr>
      <w:tr>
        <w:trPr>
          <w:cantSplit/>
        </w:trPr>
        <w:tc>
          <w:tcPr>
            <w:tcW w:type="dxa" w:w="3175"/>
          </w:tcPr>
          <w:p>
            <w:pPr>
              <w:spacing w:after="30" w:before="30" w:line="252" w:lineRule="auto"/>
            </w:pPr>
            <w:r>
              <w:rPr>
                <w:rFonts w:ascii="Aptos" w:hAnsi="Aptos"/>
                <w:color w:val="303236"/>
                <w:sz w:val="18"/>
              </w:rPr>
              <w:t>Preventive and recurrence-control action</w:t>
            </w:r>
          </w:p>
        </w:tc>
        <w:tc>
          <w:tcPr>
            <w:tcW w:type="dxa" w:w="6349"/>
          </w:tcPr>
          <w:p>
            <w:pPr>
              <w:spacing w:after="30" w:before="30" w:line="252" w:lineRule="auto"/>
            </w:pPr>
            <w:r>
              <w:rPr>
                <w:rFonts w:ascii="Aptos" w:hAnsi="Aptos"/>
                <w:color w:val="303236"/>
                <w:sz w:val="18"/>
              </w:rPr>
              <w:t>Identify surveillance, training, documentation, contract, design, and portfolio controls intended to prevent recurrence.</w:t>
            </w:r>
          </w:p>
        </w:tc>
        <w:tc>
          <w:tcPr>
            <w:tcW w:type="dxa" w:w="4444"/>
          </w:tcPr>
          <w:p>
            <w:pPr>
              <w:spacing w:after="30" w:before="30" w:line="252" w:lineRule="auto"/>
            </w:pPr>
            <w:r>
              <w:rPr>
                <w:rFonts w:ascii="Aptos" w:hAnsi="Aptos"/>
                <w:color w:val="303236"/>
                <w:sz w:val="18"/>
              </w:rPr>
            </w:r>
          </w:p>
        </w:tc>
      </w:tr>
      <w:tr>
        <w:trPr>
          <w:cantSplit/>
        </w:trPr>
        <w:tc>
          <w:tcPr>
            <w:tcW w:type="dxa" w:w="3175"/>
            <w:shd w:fill="F5F0E7" w:val="clear"/>
          </w:tcPr>
          <w:p>
            <w:pPr>
              <w:spacing w:after="30" w:before="30" w:line="252" w:lineRule="auto"/>
            </w:pPr>
            <w:r>
              <w:rPr>
                <w:rFonts w:ascii="Aptos" w:hAnsi="Aptos"/>
                <w:color w:val="303236"/>
                <w:sz w:val="18"/>
              </w:rPr>
              <w:t>Effectiveness verification</w:t>
            </w:r>
          </w:p>
        </w:tc>
        <w:tc>
          <w:tcPr>
            <w:tcW w:type="dxa" w:w="6349"/>
            <w:shd w:fill="F5F0E7" w:val="clear"/>
          </w:tcPr>
          <w:p>
            <w:pPr>
              <w:spacing w:after="30" w:before="30" w:line="252" w:lineRule="auto"/>
            </w:pPr>
            <w:r>
              <w:rPr>
                <w:rFonts w:ascii="Aptos" w:hAnsi="Aptos"/>
                <w:color w:val="303236"/>
                <w:sz w:val="18"/>
              </w:rPr>
              <w:t>Define the evidence, observation period, threshold, reviewer, residual uncertainty, and basis for deciding whether the action worked.</w:t>
            </w:r>
          </w:p>
        </w:tc>
        <w:tc>
          <w:tcPr>
            <w:tcW w:type="dxa" w:w="4444"/>
            <w:shd w:fill="F5F0E7" w:val="clear"/>
          </w:tcPr>
          <w:p>
            <w:pPr>
              <w:spacing w:after="30" w:before="30" w:line="252" w:lineRule="auto"/>
            </w:pPr>
            <w:r>
              <w:rPr>
                <w:rFonts w:ascii="Aptos" w:hAnsi="Aptos"/>
                <w:color w:val="303236"/>
                <w:sz w:val="18"/>
              </w:rPr>
            </w:r>
          </w:p>
        </w:tc>
      </w:tr>
      <w:tr>
        <w:trPr>
          <w:cantSplit/>
        </w:trPr>
        <w:tc>
          <w:tcPr>
            <w:tcW w:type="dxa" w:w="3175"/>
          </w:tcPr>
          <w:p>
            <w:pPr>
              <w:spacing w:after="30" w:before="30" w:line="252" w:lineRule="auto"/>
            </w:pPr>
            <w:r>
              <w:rPr>
                <w:rFonts w:ascii="Aptos" w:hAnsi="Aptos"/>
                <w:color w:val="303236"/>
                <w:sz w:val="18"/>
              </w:rPr>
              <w:t>Closure and institutional learning</w:t>
            </w:r>
          </w:p>
        </w:tc>
        <w:tc>
          <w:tcPr>
            <w:tcW w:type="dxa" w:w="6349"/>
          </w:tcPr>
          <w:p>
            <w:pPr>
              <w:spacing w:after="30" w:before="30" w:line="252" w:lineRule="auto"/>
            </w:pPr>
            <w:r>
              <w:rPr>
                <w:rFonts w:ascii="Aptos" w:hAnsi="Aptos"/>
                <w:color w:val="303236"/>
                <w:sz w:val="18"/>
              </w:rPr>
              <w:t>Record closure authority, decision, dissent, residual risk, next review, lessons, and changes to related systems or policies.</w:t>
            </w:r>
          </w:p>
        </w:tc>
        <w:tc>
          <w:tcPr>
            <w:tcW w:type="dxa" w:w="4444"/>
          </w:tcPr>
          <w:p>
            <w:pPr>
              <w:spacing w:after="30" w:before="30" w:line="252" w:lineRule="auto"/>
            </w:pPr>
            <w:r>
              <w:rPr>
                <w:rFonts w:ascii="Aptos" w:hAnsi="Aptos"/>
                <w:color w:val="303236"/>
                <w:sz w:val="18"/>
              </w:rPr>
            </w:r>
          </w:p>
        </w:tc>
      </w:tr>
    </w:tbl>
    <w:p>
      <w:r>
        <w:rPr>
          <w:rFonts w:ascii="Aptos" w:hAnsi="Aptos"/>
          <w:sz w:val="16"/>
        </w:rPr>
        <w:t>Local record control: owner __________________  evidence cut-off __________  next review __________  local version __________</w:t>
      </w:r>
    </w:p>
    <w:p>
      <w:pPr>
        <w:pageBreakBefore/>
        <w:spacing w:after="80"/>
      </w:pPr>
      <w:r>
        <w:rPr>
          <w:rFonts w:ascii="Aptos" w:hAnsi="Aptos"/>
          <w:color w:val="877567"/>
          <w:sz w:val="18"/>
        </w:rPr>
        <w:t>Part III — Economic Evaluation, Decision Modelling, and Procurement</w:t>
      </w:r>
    </w:p>
    <w:p>
      <w:pPr>
        <w:pStyle w:val="Heading1"/>
      </w:pPr>
      <w:r>
        <w:t>AIHE-B01 — Economic Evaluation Specification</w:t>
      </w:r>
    </w:p>
    <w:p>
      <w:pPr>
        <w:spacing w:after="80"/>
      </w:pPr>
      <w:r>
        <w:rPr>
          <w:color w:val="877567"/>
          <w:sz w:val="20"/>
        </w:rPr>
        <w:t>Chapter 6: Lifecycle Cost, Pricing, and Benefit Realization</w:t>
      </w:r>
    </w:p>
    <w:p>
      <w:r>
        <w:t>Define the economic decision, perspective, comparator, horizon, outcomes, costs, methods, uncertainty, safeguards, and validation.</w:t>
      </w:r>
    </w:p>
    <w:p>
      <w:r>
        <w:rPr>
          <w:rFonts w:ascii="Aptos" w:hAnsi="Aptos"/>
          <w:sz w:val="17"/>
        </w:rPr>
        <w:t>Resource: AIHE-B01  |  V1.0  |  Aligned chapters: 6, 7, 8</w:t>
      </w:r>
    </w:p>
    <w:p>
      <w:r>
        <w:t>Complete the record with the people who own the evidence, workflow, budget, safeguards, and follow-up action. Distinguish documented evidence from assumptions and planned evidence collection. Record the exact intervention and version, accountable owner, decision conditions, evidence cut-off, review date, and trigger events.</w:t>
      </w:r>
    </w:p>
    <w:tbl>
      <w:tblPr>
        <w:tblW w:type="auto" w:w="0"/>
        <w:tblLayout w:type="fixed"/>
        <w:tblLook w:firstColumn="1" w:firstRow="1" w:lastColumn="0" w:lastRow="0" w:noHBand="0" w:noVBand="1" w:val="04A0"/>
        <w:tblBorders>
          <w:top w:val="single" w:sz="4" w:color="D9D0C2"/>
          <w:left w:val="single" w:sz="4" w:color="D9D0C2"/>
          <w:bottom w:val="single" w:sz="4" w:color="D9D0C2"/>
          <w:right w:val="single" w:sz="4" w:color="D9D0C2"/>
          <w:insideH w:val="single" w:sz="4" w:color="D9D0C2"/>
          <w:insideV w:val="single" w:sz="4" w:color="D9D0C2"/>
        </w:tblBorders>
        <w:tblCellMar>
          <w:top w:w="80" w:type="dxa"/>
          <w:left w:w="80" w:type="dxa"/>
          <w:bottom w:w="80" w:type="dxa"/>
          <w:right w:w="80" w:type="dxa"/>
        </w:tblCellMar>
      </w:tblPr>
      <w:tblGrid>
        <w:gridCol w:w="3175"/>
        <w:gridCol w:w="6349"/>
        <w:gridCol w:w="4444"/>
      </w:tblGrid>
      <w:tr>
        <w:trPr>
          <w:tblHeader/>
          <w:cantSplit/>
        </w:trPr>
        <w:tc>
          <w:tcPr>
            <w:tcW w:type="dxa" w:w="3175"/>
            <w:shd w:fill="6B2230" w:val="clear"/>
          </w:tcPr>
          <w:p>
            <w:pPr>
              <w:spacing w:after="60" w:before="60"/>
            </w:pPr>
            <w:r>
              <w:rPr>
                <w:rFonts w:ascii="Aptos" w:hAnsi="Aptos"/>
                <w:b/>
                <w:color w:val="FFFFFF"/>
                <w:sz w:val="18"/>
              </w:rPr>
              <w:t>Field</w:t>
            </w:r>
          </w:p>
        </w:tc>
        <w:tc>
          <w:tcPr>
            <w:tcW w:type="dxa" w:w="6349"/>
            <w:shd w:fill="6B2230" w:val="clear"/>
          </w:tcPr>
          <w:p>
            <w:pPr>
              <w:spacing w:after="60" w:before="60"/>
            </w:pPr>
            <w:r>
              <w:rPr>
                <w:rFonts w:ascii="Aptos" w:hAnsi="Aptos"/>
                <w:b/>
                <w:color w:val="FFFFFF"/>
                <w:sz w:val="18"/>
              </w:rPr>
              <w:t>Guidance</w:t>
            </w:r>
          </w:p>
        </w:tc>
        <w:tc>
          <w:tcPr>
            <w:tcW w:type="dxa" w:w="4444"/>
            <w:shd w:fill="6B2230" w:val="clear"/>
          </w:tcPr>
          <w:p>
            <w:pPr>
              <w:spacing w:after="60" w:before="60"/>
            </w:pPr>
            <w:r>
              <w:rPr>
                <w:rFonts w:ascii="Aptos" w:hAnsi="Aptos"/>
                <w:b/>
                <w:color w:val="FFFFFF"/>
                <w:sz w:val="18"/>
              </w:rPr>
              <w:t>Institutional response</w:t>
            </w:r>
          </w:p>
        </w:tc>
      </w:tr>
      <w:tr>
        <w:trPr>
          <w:cantSplit/>
        </w:trPr>
        <w:tc>
          <w:tcPr>
            <w:tcW w:type="dxa" w:w="3175"/>
            <w:shd w:fill="F5F0E7" w:val="clear"/>
          </w:tcPr>
          <w:p>
            <w:pPr>
              <w:spacing w:after="60" w:before="60" w:line="252" w:lineRule="auto"/>
            </w:pPr>
            <w:r>
              <w:rPr>
                <w:rFonts w:ascii="Aptos" w:hAnsi="Aptos"/>
                <w:color w:val="303236"/>
                <w:sz w:val="18"/>
              </w:rPr>
              <w:t>Decision and comparator</w:t>
            </w:r>
          </w:p>
        </w:tc>
        <w:tc>
          <w:tcPr>
            <w:tcW w:type="dxa" w:w="6349"/>
            <w:shd w:fill="F5F0E7" w:val="clear"/>
          </w:tcPr>
          <w:p>
            <w:pPr>
              <w:spacing w:after="60" w:before="60" w:line="252" w:lineRule="auto"/>
            </w:pPr>
            <w:r>
              <w:rPr>
                <w:rFonts w:ascii="Aptos" w:hAnsi="Aptos"/>
                <w:color w:val="303236"/>
                <w:sz w:val="18"/>
              </w:rPr>
              <w:t>State the incremental decision and all realistic alternatives.</w:t>
            </w:r>
          </w:p>
        </w:tc>
        <w:tc>
          <w:tcPr>
            <w:tcW w:type="dxa" w:w="4444"/>
            <w:shd w:fill="F5F0E7" w:val="clear"/>
          </w:tcPr>
          <w:p>
            <w:pPr>
              <w:spacing w:after="60" w:before="60" w:line="252" w:lineRule="auto"/>
            </w:pPr>
            <w:r>
              <w:rPr>
                <w:rFonts w:ascii="Aptos" w:hAnsi="Aptos"/>
                <w:color w:val="303236"/>
                <w:sz w:val="18"/>
              </w:rPr>
            </w:r>
          </w:p>
        </w:tc>
      </w:tr>
      <w:tr>
        <w:trPr>
          <w:cantSplit/>
        </w:trPr>
        <w:tc>
          <w:tcPr>
            <w:tcW w:type="dxa" w:w="3175"/>
          </w:tcPr>
          <w:p>
            <w:pPr>
              <w:spacing w:after="60" w:before="60" w:line="252" w:lineRule="auto"/>
            </w:pPr>
            <w:r>
              <w:rPr>
                <w:rFonts w:ascii="Aptos" w:hAnsi="Aptos"/>
                <w:color w:val="303236"/>
                <w:sz w:val="18"/>
              </w:rPr>
              <w:t>Population, setting, and subgroups</w:t>
            </w:r>
          </w:p>
        </w:tc>
        <w:tc>
          <w:tcPr>
            <w:tcW w:type="dxa" w:w="6349"/>
          </w:tcPr>
          <w:p>
            <w:pPr>
              <w:spacing w:after="60" w:before="60" w:line="252" w:lineRule="auto"/>
            </w:pPr>
            <w:r>
              <w:rPr>
                <w:rFonts w:ascii="Aptos" w:hAnsi="Aptos"/>
                <w:color w:val="303236"/>
                <w:sz w:val="18"/>
              </w:rPr>
              <w:t>Define eligible volume, uptake, important heterogeneity, and access constraints.</w:t>
            </w:r>
          </w:p>
        </w:tc>
        <w:tc>
          <w:tcPr>
            <w:tcW w:type="dxa" w:w="4444"/>
          </w:tcPr>
          <w:p>
            <w:pPr>
              <w:spacing w:after="60" w:before="60" w:line="252" w:lineRule="auto"/>
            </w:pPr>
            <w:r>
              <w:rPr>
                <w:rFonts w:ascii="Aptos" w:hAnsi="Aptos"/>
                <w:color w:val="303236"/>
                <w:sz w:val="18"/>
              </w:rPr>
            </w:r>
          </w:p>
        </w:tc>
      </w:tr>
      <w:tr>
        <w:trPr>
          <w:cantSplit/>
        </w:trPr>
        <w:tc>
          <w:tcPr>
            <w:tcW w:type="dxa" w:w="3175"/>
            <w:shd w:fill="F5F0E7" w:val="clear"/>
          </w:tcPr>
          <w:p>
            <w:pPr>
              <w:spacing w:after="60" w:before="60" w:line="252" w:lineRule="auto"/>
            </w:pPr>
            <w:r>
              <w:rPr>
                <w:rFonts w:ascii="Aptos" w:hAnsi="Aptos"/>
                <w:color w:val="303236"/>
                <w:sz w:val="18"/>
              </w:rPr>
              <w:t>Perspective and budget holder</w:t>
            </w:r>
          </w:p>
        </w:tc>
        <w:tc>
          <w:tcPr>
            <w:tcW w:type="dxa" w:w="6349"/>
            <w:shd w:fill="F5F0E7" w:val="clear"/>
          </w:tcPr>
          <w:p>
            <w:pPr>
              <w:spacing w:after="60" w:before="60" w:line="252" w:lineRule="auto"/>
            </w:pPr>
            <w:r>
              <w:rPr>
                <w:rFonts w:ascii="Aptos" w:hAnsi="Aptos"/>
                <w:color w:val="303236"/>
                <w:sz w:val="18"/>
              </w:rPr>
              <w:t>Distinguish hospital, payer, patient, societal, and service perspectives and identify who pays and benefits.</w:t>
            </w:r>
          </w:p>
        </w:tc>
        <w:tc>
          <w:tcPr>
            <w:tcW w:type="dxa" w:w="4444"/>
            <w:shd w:fill="F5F0E7" w:val="clear"/>
          </w:tcPr>
          <w:p>
            <w:pPr>
              <w:spacing w:after="60" w:before="60" w:line="252" w:lineRule="auto"/>
            </w:pPr>
            <w:r>
              <w:rPr>
                <w:rFonts w:ascii="Aptos" w:hAnsi="Aptos"/>
                <w:color w:val="303236"/>
                <w:sz w:val="18"/>
              </w:rPr>
            </w:r>
          </w:p>
        </w:tc>
      </w:tr>
      <w:tr>
        <w:trPr>
          <w:cantSplit/>
        </w:trPr>
        <w:tc>
          <w:tcPr>
            <w:tcW w:type="dxa" w:w="3175"/>
          </w:tcPr>
          <w:p>
            <w:pPr>
              <w:spacing w:after="60" w:before="60" w:line="252" w:lineRule="auto"/>
            </w:pPr>
            <w:r>
              <w:rPr>
                <w:rFonts w:ascii="Aptos" w:hAnsi="Aptos"/>
                <w:color w:val="303236"/>
                <w:sz w:val="18"/>
              </w:rPr>
              <w:t>Time horizon, cycle, and discounting</w:t>
            </w:r>
          </w:p>
        </w:tc>
        <w:tc>
          <w:tcPr>
            <w:tcW w:type="dxa" w:w="6349"/>
          </w:tcPr>
          <w:p>
            <w:pPr>
              <w:spacing w:after="60" w:before="60" w:line="252" w:lineRule="auto"/>
            </w:pPr>
            <w:r>
              <w:rPr>
                <w:rFonts w:ascii="Aptos" w:hAnsi="Aptos"/>
                <w:color w:val="303236"/>
                <w:sz w:val="18"/>
              </w:rPr>
              <w:t>Justify duration, timing of implementation, useful life, updating, residual value, and discount rates.</w:t>
            </w:r>
          </w:p>
        </w:tc>
        <w:tc>
          <w:tcPr>
            <w:tcW w:type="dxa" w:w="4444"/>
          </w:tcPr>
          <w:p>
            <w:pPr>
              <w:spacing w:after="60" w:before="60" w:line="252" w:lineRule="auto"/>
            </w:pPr>
            <w:r>
              <w:rPr>
                <w:rFonts w:ascii="Aptos" w:hAnsi="Aptos"/>
                <w:color w:val="303236"/>
                <w:sz w:val="18"/>
              </w:rPr>
            </w:r>
          </w:p>
        </w:tc>
      </w:tr>
      <w:tr>
        <w:trPr>
          <w:cantSplit/>
        </w:trPr>
        <w:tc>
          <w:tcPr>
            <w:tcW w:type="dxa" w:w="3175"/>
            <w:shd w:fill="F5F0E7" w:val="clear"/>
          </w:tcPr>
          <w:p>
            <w:pPr>
              <w:spacing w:after="60" w:before="60" w:line="252" w:lineRule="auto"/>
            </w:pPr>
            <w:r>
              <w:rPr>
                <w:rFonts w:ascii="Aptos" w:hAnsi="Aptos"/>
                <w:color w:val="303236"/>
                <w:sz w:val="18"/>
              </w:rPr>
              <w:t>Outcome hierarchy</w:t>
            </w:r>
          </w:p>
        </w:tc>
        <w:tc>
          <w:tcPr>
            <w:tcW w:type="dxa" w:w="6349"/>
            <w:shd w:fill="F5F0E7" w:val="clear"/>
          </w:tcPr>
          <w:p>
            <w:pPr>
              <w:spacing w:after="60" w:before="60" w:line="252" w:lineRule="auto"/>
            </w:pPr>
            <w:r>
              <w:rPr>
                <w:rFonts w:ascii="Aptos" w:hAnsi="Aptos"/>
                <w:color w:val="303236"/>
                <w:sz w:val="18"/>
              </w:rPr>
              <w:t>Separate final health outcomes, intermediate outcomes, process measures, workforce effects, quality, equity, trust, and service effects.</w:t>
            </w:r>
          </w:p>
        </w:tc>
        <w:tc>
          <w:tcPr>
            <w:tcW w:type="dxa" w:w="4444"/>
            <w:shd w:fill="F5F0E7" w:val="clear"/>
          </w:tcPr>
          <w:p>
            <w:pPr>
              <w:spacing w:after="60" w:before="60" w:line="252" w:lineRule="auto"/>
            </w:pPr>
            <w:r>
              <w:rPr>
                <w:rFonts w:ascii="Aptos" w:hAnsi="Aptos"/>
                <w:color w:val="303236"/>
                <w:sz w:val="18"/>
              </w:rPr>
            </w:r>
          </w:p>
        </w:tc>
      </w:tr>
      <w:tr>
        <w:trPr>
          <w:cantSplit/>
        </w:trPr>
        <w:tc>
          <w:tcPr>
            <w:tcW w:type="dxa" w:w="3175"/>
          </w:tcPr>
          <w:p>
            <w:pPr>
              <w:spacing w:after="60" w:before="60" w:line="252" w:lineRule="auto"/>
            </w:pPr>
            <w:r>
              <w:rPr>
                <w:rFonts w:ascii="Aptos" w:hAnsi="Aptos"/>
                <w:color w:val="303236"/>
                <w:sz w:val="18"/>
              </w:rPr>
              <w:t>Cost boundary</w:t>
            </w:r>
          </w:p>
        </w:tc>
        <w:tc>
          <w:tcPr>
            <w:tcW w:type="dxa" w:w="6349"/>
          </w:tcPr>
          <w:p>
            <w:pPr>
              <w:spacing w:after="60" w:before="60" w:line="252" w:lineRule="auto"/>
            </w:pPr>
            <w:r>
              <w:rPr>
                <w:rFonts w:ascii="Aptos" w:hAnsi="Aptos"/>
                <w:color w:val="303236"/>
                <w:sz w:val="18"/>
              </w:rPr>
              <w:t>Include acquisition, data, integration, infrastructure, training, review, governance, monitoring, incidents, updates, support, opportunity cost, and exit where incremental.</w:t>
            </w:r>
          </w:p>
        </w:tc>
        <w:tc>
          <w:tcPr>
            <w:tcW w:type="dxa" w:w="4444"/>
          </w:tcPr>
          <w:p>
            <w:pPr>
              <w:spacing w:after="60" w:before="60" w:line="252" w:lineRule="auto"/>
            </w:pPr>
            <w:r>
              <w:rPr>
                <w:rFonts w:ascii="Aptos" w:hAnsi="Aptos"/>
                <w:color w:val="303236"/>
                <w:sz w:val="18"/>
              </w:rPr>
            </w:r>
          </w:p>
        </w:tc>
      </w:tr>
      <w:tr>
        <w:trPr>
          <w:cantSplit/>
        </w:trPr>
        <w:tc>
          <w:tcPr>
            <w:tcW w:type="dxa" w:w="3175"/>
            <w:shd w:fill="F5F0E7" w:val="clear"/>
          </w:tcPr>
          <w:p>
            <w:pPr>
              <w:spacing w:after="60" w:before="60" w:line="252" w:lineRule="auto"/>
            </w:pPr>
            <w:r>
              <w:rPr>
                <w:rFonts w:ascii="Aptos" w:hAnsi="Aptos"/>
                <w:color w:val="303236"/>
                <w:sz w:val="18"/>
              </w:rPr>
              <w:t>Analytic approach</w:t>
            </w:r>
          </w:p>
        </w:tc>
        <w:tc>
          <w:tcPr>
            <w:tcW w:type="dxa" w:w="6349"/>
            <w:shd w:fill="F5F0E7" w:val="clear"/>
          </w:tcPr>
          <w:p>
            <w:pPr>
              <w:spacing w:after="60" w:before="60" w:line="252" w:lineRule="auto"/>
            </w:pPr>
            <w:r>
              <w:rPr>
                <w:rFonts w:ascii="Aptos" w:hAnsi="Aptos"/>
                <w:color w:val="303236"/>
                <w:sz w:val="18"/>
              </w:rPr>
              <w:t>Specify cost-consequence, cost-effectiveness, cost-utility, cost-benefit, budget impact, ROI, multi-criteria, or combined analysis.</w:t>
            </w:r>
          </w:p>
        </w:tc>
        <w:tc>
          <w:tcPr>
            <w:tcW w:type="dxa" w:w="4444"/>
            <w:shd w:fill="F5F0E7" w:val="clear"/>
          </w:tcPr>
          <w:p>
            <w:pPr>
              <w:spacing w:after="60" w:before="60" w:line="252" w:lineRule="auto"/>
            </w:pPr>
            <w:r>
              <w:rPr>
                <w:rFonts w:ascii="Aptos" w:hAnsi="Aptos"/>
                <w:color w:val="303236"/>
                <w:sz w:val="18"/>
              </w:rPr>
            </w:r>
          </w:p>
        </w:tc>
      </w:tr>
      <w:tr>
        <w:trPr>
          <w:cantSplit/>
        </w:trPr>
        <w:tc>
          <w:tcPr>
            <w:tcW w:type="dxa" w:w="3175"/>
          </w:tcPr>
          <w:p>
            <w:pPr>
              <w:spacing w:after="60" w:before="60" w:line="252" w:lineRule="auto"/>
            </w:pPr>
            <w:r>
              <w:rPr>
                <w:rFonts w:ascii="Aptos" w:hAnsi="Aptos"/>
                <w:color w:val="303236"/>
                <w:sz w:val="18"/>
              </w:rPr>
              <w:t>Uncertainty and heterogeneity</w:t>
            </w:r>
          </w:p>
        </w:tc>
        <w:tc>
          <w:tcPr>
            <w:tcW w:type="dxa" w:w="6349"/>
          </w:tcPr>
          <w:p>
            <w:pPr>
              <w:spacing w:after="60" w:before="60" w:line="252" w:lineRule="auto"/>
            </w:pPr>
            <w:r>
              <w:rPr>
                <w:rFonts w:ascii="Aptos" w:hAnsi="Aptos"/>
                <w:color w:val="303236"/>
                <w:sz w:val="18"/>
              </w:rPr>
              <w:t>Define deterministic, probabilistic, scenario, threshold, structural, subgroup, and value-of-information analyses.</w:t>
            </w:r>
          </w:p>
        </w:tc>
        <w:tc>
          <w:tcPr>
            <w:tcW w:type="dxa" w:w="4444"/>
          </w:tcPr>
          <w:p>
            <w:pPr>
              <w:spacing w:after="60" w:before="60" w:line="252" w:lineRule="auto"/>
            </w:pPr>
            <w:r>
              <w:rPr>
                <w:rFonts w:ascii="Aptos" w:hAnsi="Aptos"/>
                <w:color w:val="303236"/>
                <w:sz w:val="18"/>
              </w:rPr>
            </w:r>
          </w:p>
        </w:tc>
      </w:tr>
      <w:tr>
        <w:trPr>
          <w:cantSplit/>
        </w:trPr>
        <w:tc>
          <w:tcPr>
            <w:tcW w:type="dxa" w:w="3175"/>
            <w:shd w:fill="F5F0E7" w:val="clear"/>
          </w:tcPr>
          <w:p>
            <w:pPr>
              <w:spacing w:after="60" w:before="60" w:line="252" w:lineRule="auto"/>
            </w:pPr>
            <w:r>
              <w:rPr>
                <w:rFonts w:ascii="Aptos" w:hAnsi="Aptos"/>
                <w:color w:val="303236"/>
                <w:sz w:val="18"/>
              </w:rPr>
              <w:t>Decision rule and safeguards</w:t>
            </w:r>
          </w:p>
        </w:tc>
        <w:tc>
          <w:tcPr>
            <w:tcW w:type="dxa" w:w="6349"/>
            <w:shd w:fill="F5F0E7" w:val="clear"/>
          </w:tcPr>
          <w:p>
            <w:pPr>
              <w:spacing w:after="60" w:before="60" w:line="252" w:lineRule="auto"/>
            </w:pPr>
            <w:r>
              <w:rPr>
                <w:rFonts w:ascii="Aptos" w:hAnsi="Aptos"/>
                <w:color w:val="303236"/>
                <w:sz w:val="18"/>
              </w:rPr>
              <w:t>State willingness-to-pay or net-benefit rule, affordability threshold, mandatory safeguards, and conditions.</w:t>
            </w:r>
          </w:p>
        </w:tc>
        <w:tc>
          <w:tcPr>
            <w:tcW w:type="dxa" w:w="4444"/>
            <w:shd w:fill="F5F0E7" w:val="clear"/>
          </w:tcPr>
          <w:p>
            <w:pPr>
              <w:spacing w:after="60" w:before="60" w:line="252" w:lineRule="auto"/>
            </w:pPr>
            <w:r>
              <w:rPr>
                <w:rFonts w:ascii="Aptos" w:hAnsi="Aptos"/>
                <w:color w:val="303236"/>
                <w:sz w:val="18"/>
              </w:rPr>
            </w:r>
          </w:p>
        </w:tc>
      </w:tr>
      <w:tr>
        <w:trPr>
          <w:cantSplit/>
        </w:trPr>
        <w:tc>
          <w:tcPr>
            <w:tcW w:type="dxa" w:w="3175"/>
          </w:tcPr>
          <w:p>
            <w:pPr>
              <w:spacing w:after="60" w:before="60" w:line="252" w:lineRule="auto"/>
            </w:pPr>
            <w:r>
              <w:rPr>
                <w:rFonts w:ascii="Aptos" w:hAnsi="Aptos"/>
                <w:color w:val="303236"/>
                <w:sz w:val="18"/>
              </w:rPr>
              <w:t>Reporting and validation</w:t>
            </w:r>
          </w:p>
        </w:tc>
        <w:tc>
          <w:tcPr>
            <w:tcW w:type="dxa" w:w="6349"/>
          </w:tcPr>
          <w:p>
            <w:pPr>
              <w:spacing w:after="60" w:before="60" w:line="252" w:lineRule="auto"/>
            </w:pPr>
            <w:r>
              <w:rPr>
                <w:rFonts w:ascii="Aptos" w:hAnsi="Aptos"/>
                <w:color w:val="303236"/>
                <w:sz w:val="18"/>
              </w:rPr>
              <w:t>Record model version, evidence date, technical verification, face validity, external review, reproducibility, and archive location.</w:t>
            </w:r>
          </w:p>
        </w:tc>
        <w:tc>
          <w:tcPr>
            <w:tcW w:type="dxa" w:w="4444"/>
          </w:tcPr>
          <w:p>
            <w:pPr>
              <w:spacing w:after="60" w:before="60" w:line="252" w:lineRule="auto"/>
            </w:pPr>
            <w:r>
              <w:rPr>
                <w:rFonts w:ascii="Aptos" w:hAnsi="Aptos"/>
                <w:color w:val="303236"/>
                <w:sz w:val="18"/>
              </w:rPr>
            </w:r>
          </w:p>
        </w:tc>
      </w:tr>
    </w:tbl>
    <w:p>
      <w:r>
        <w:rPr>
          <w:rFonts w:ascii="Aptos" w:hAnsi="Aptos"/>
          <w:sz w:val="16"/>
        </w:rPr>
        <w:t>Local record control: owner __________________  evidence cut-off __________  next review __________  local version __________</w:t>
      </w:r>
    </w:p>
    <w:p>
      <w:pPr>
        <w:pageBreakBefore/>
        <w:spacing w:after="80"/>
      </w:pPr>
      <w:r>
        <w:rPr>
          <w:rFonts w:ascii="Aptos" w:hAnsi="Aptos"/>
          <w:color w:val="877567"/>
          <w:sz w:val="18"/>
        </w:rPr>
        <w:t>Part III — Economic Evaluation, Decision Modelling, and Procurement</w:t>
      </w:r>
    </w:p>
    <w:p>
      <w:pPr>
        <w:pStyle w:val="Heading1"/>
      </w:pPr>
      <w:r>
        <w:t>AIHE-B02 — Lifecycle Cost and Pricing Record</w:t>
      </w:r>
    </w:p>
    <w:p>
      <w:pPr>
        <w:spacing w:after="80"/>
      </w:pPr>
      <w:r>
        <w:rPr>
          <w:color w:val="877567"/>
          <w:sz w:val="20"/>
        </w:rPr>
        <w:t>Chapter 6: Lifecycle Cost, Pricing, and Benefit Realization</w:t>
      </w:r>
    </w:p>
    <w:p>
      <w:r>
        <w:t>Record acquisition through exit costs, resource use, pricing exposure, opportunity cost, residual value, and evidence.</w:t>
      </w:r>
    </w:p>
    <w:p>
      <w:r>
        <w:rPr>
          <w:rFonts w:ascii="Aptos" w:hAnsi="Aptos"/>
          <w:sz w:val="17"/>
        </w:rPr>
        <w:t>Resource: AIHE-B02  |  V1.0  |  Aligned chapters: 6, 9, 12</w:t>
      </w:r>
    </w:p>
    <w:p>
      <w:r>
        <w:t>Keep economic resource cost, cash expenditure, and accounting expense separate. Where physical assets are material, record supported service life, maintenance, replacement timing, and realizable residual value net of recovery costs (book §§6.2.3–6.2.4).</w:t>
      </w:r>
    </w:p>
    <w:tbl>
      <w:tblPr>
        <w:tblW w:type="auto" w:w="0"/>
        <w:tblLayout w:type="fixed"/>
        <w:tblLook w:firstColumn="1" w:firstRow="1" w:lastColumn="0" w:lastRow="0" w:noHBand="0" w:noVBand="1" w:val="04A0"/>
        <w:tblBorders>
          <w:top w:val="single" w:sz="4" w:color="D9D0C2"/>
          <w:left w:val="single" w:sz="4" w:color="D9D0C2"/>
          <w:bottom w:val="single" w:sz="4" w:color="D9D0C2"/>
          <w:right w:val="single" w:sz="4" w:color="D9D0C2"/>
          <w:insideH w:val="single" w:sz="4" w:color="D9D0C2"/>
          <w:insideV w:val="single" w:sz="4" w:color="D9D0C2"/>
        </w:tblBorders>
        <w:tblCellMar>
          <w:top w:w="80" w:type="dxa"/>
          <w:left w:w="80" w:type="dxa"/>
          <w:bottom w:w="80" w:type="dxa"/>
          <w:right w:w="80" w:type="dxa"/>
        </w:tblCellMar>
      </w:tblPr>
      <w:tblGrid>
        <w:gridCol w:w="2160"/>
        <w:gridCol w:w="1872"/>
        <w:gridCol w:w="792"/>
        <w:gridCol w:w="1224"/>
        <w:gridCol w:w="1296"/>
        <w:gridCol w:w="1296"/>
        <w:gridCol w:w="1584"/>
        <w:gridCol w:w="1224"/>
        <w:gridCol w:w="2520"/>
      </w:tblGrid>
      <w:tr>
        <w:trPr>
          <w:tblHeader/>
          <w:cantSplit/>
        </w:trPr>
        <w:tc>
          <w:tcPr>
            <w:tcW w:type="dxa" w:w="2160"/>
            <w:shd w:fill="6B2230" w:val="clear"/>
          </w:tcPr>
          <w:p>
            <w:pPr>
              <w:spacing w:after="60" w:before="60"/>
            </w:pPr>
            <w:r>
              <w:rPr>
                <w:rFonts w:ascii="Aptos" w:hAnsi="Aptos"/>
                <w:b/>
                <w:color w:val="FFFFFF"/>
                <w:sz w:val="17"/>
              </w:rPr>
              <w:t>Lifecycle layer</w:t>
            </w:r>
          </w:p>
        </w:tc>
        <w:tc>
          <w:tcPr>
            <w:tcW w:type="dxa" w:w="1872"/>
            <w:shd w:fill="6B2230" w:val="clear"/>
          </w:tcPr>
          <w:p>
            <w:pPr>
              <w:spacing w:after="60" w:before="60"/>
            </w:pPr>
            <w:r>
              <w:rPr>
                <w:rFonts w:ascii="Aptos" w:hAnsi="Aptos"/>
                <w:b/>
                <w:color w:val="FFFFFF"/>
                <w:sz w:val="17"/>
              </w:rPr>
              <w:t>Resource or pricing unit</w:t>
            </w:r>
          </w:p>
        </w:tc>
        <w:tc>
          <w:tcPr>
            <w:tcW w:type="dxa" w:w="792"/>
            <w:shd w:fill="6B2230" w:val="clear"/>
          </w:tcPr>
          <w:p>
            <w:pPr>
              <w:spacing w:after="60" w:before="60"/>
            </w:pPr>
            <w:r>
              <w:rPr>
                <w:rFonts w:ascii="Aptos" w:hAnsi="Aptos"/>
                <w:b/>
                <w:color w:val="FFFFFF"/>
                <w:sz w:val="17"/>
              </w:rPr>
              <w:t>Quantity</w:t>
            </w:r>
          </w:p>
        </w:tc>
        <w:tc>
          <w:tcPr>
            <w:tcW w:type="dxa" w:w="1224"/>
            <w:shd w:fill="6B2230" w:val="clear"/>
          </w:tcPr>
          <w:p>
            <w:pPr>
              <w:spacing w:after="60" w:before="60"/>
            </w:pPr>
            <w:r>
              <w:rPr>
                <w:rFonts w:ascii="Aptos" w:hAnsi="Aptos"/>
                <w:b/>
                <w:color w:val="FFFFFF"/>
                <w:sz w:val="17"/>
              </w:rPr>
              <w:t>Economic cost</w:t>
            </w:r>
          </w:p>
        </w:tc>
        <w:tc>
          <w:tcPr>
            <w:tcW w:type="dxa" w:w="1296"/>
            <w:shd w:fill="6B2230" w:val="clear"/>
          </w:tcPr>
          <w:p>
            <w:pPr>
              <w:spacing w:after="60" w:before="60"/>
            </w:pPr>
            <w:r>
              <w:rPr>
                <w:rFonts w:ascii="Aptos" w:hAnsi="Aptos"/>
                <w:b/>
                <w:color w:val="FFFFFF"/>
                <w:sz w:val="17"/>
              </w:rPr>
              <w:t>Cash expenditure</w:t>
            </w:r>
          </w:p>
        </w:tc>
        <w:tc>
          <w:tcPr>
            <w:tcW w:type="dxa" w:w="1296"/>
            <w:shd w:fill="6B2230" w:val="clear"/>
          </w:tcPr>
          <w:p>
            <w:pPr>
              <w:spacing w:after="60" w:before="60"/>
            </w:pPr>
            <w:r>
              <w:rPr>
                <w:rFonts w:ascii="Aptos" w:hAnsi="Aptos"/>
                <w:b/>
                <w:color w:val="FFFFFF"/>
                <w:sz w:val="17"/>
              </w:rPr>
              <w:t>Accounting expense</w:t>
            </w:r>
          </w:p>
        </w:tc>
        <w:tc>
          <w:tcPr>
            <w:tcW w:type="dxa" w:w="1584"/>
            <w:shd w:fill="6B2230" w:val="clear"/>
          </w:tcPr>
          <w:p>
            <w:pPr>
              <w:spacing w:after="60" w:before="60"/>
            </w:pPr>
            <w:r>
              <w:rPr>
                <w:rFonts w:ascii="Aptos" w:hAnsi="Aptos"/>
                <w:b/>
                <w:color w:val="FFFFFF"/>
                <w:sz w:val="17"/>
              </w:rPr>
              <w:t>Budget owner or incidence</w:t>
            </w:r>
          </w:p>
        </w:tc>
        <w:tc>
          <w:tcPr>
            <w:tcW w:type="dxa" w:w="1224"/>
            <w:shd w:fill="6B2230" w:val="clear"/>
          </w:tcPr>
          <w:p>
            <w:pPr>
              <w:spacing w:after="60" w:before="60"/>
            </w:pPr>
            <w:r>
              <w:rPr>
                <w:rFonts w:ascii="Aptos" w:hAnsi="Aptos"/>
                <w:b/>
                <w:color w:val="FFFFFF"/>
                <w:sz w:val="17"/>
              </w:rPr>
              <w:t>Timing or scenario</w:t>
            </w:r>
          </w:p>
        </w:tc>
        <w:tc>
          <w:tcPr>
            <w:tcW w:type="dxa" w:w="2520"/>
            <w:shd w:fill="6B2230" w:val="clear"/>
          </w:tcPr>
          <w:p>
            <w:pPr>
              <w:spacing w:after="60" w:before="60"/>
            </w:pPr>
            <w:r>
              <w:rPr>
                <w:rFonts w:ascii="Aptos" w:hAnsi="Aptos"/>
                <w:b/>
                <w:color w:val="FFFFFF"/>
                <w:sz w:val="17"/>
              </w:rPr>
              <w:t>Evidence, assumptions, and notes</w:t>
            </w:r>
          </w:p>
        </w:tc>
      </w:tr>
      <w:tr>
        <w:trPr>
          <w:cantSplit/>
        </w:trPr>
        <w:tc>
          <w:tcPr>
            <w:tcW w:type="dxa" w:w="2160"/>
            <w:shd w:fill="F5F0E7" w:val="clear"/>
          </w:tcPr>
          <w:p>
            <w:pPr>
              <w:spacing w:after="60" w:before="60" w:line="252" w:lineRule="auto"/>
            </w:pPr>
            <w:r>
              <w:rPr>
                <w:rFonts w:ascii="Aptos" w:hAnsi="Aptos"/>
                <w:color w:val="303236"/>
                <w:sz w:val="17"/>
              </w:rPr>
              <w:t>Acquisition, licence, and initial commitment</w:t>
            </w:r>
          </w:p>
        </w:tc>
        <w:tc>
          <w:tcPr>
            <w:tcW w:type="dxa" w:w="1872"/>
            <w:shd w:fill="F5F0E7" w:val="clear"/>
          </w:tcPr>
          <w:p>
            <w:pPr>
              <w:spacing w:after="60" w:before="60" w:line="252" w:lineRule="auto"/>
            </w:pPr>
            <w:r>
              <w:rPr>
                <w:rFonts w:ascii="Aptos" w:hAnsi="Aptos"/>
                <w:color w:val="303236"/>
                <w:sz w:val="17"/>
              </w:rPr>
            </w:r>
          </w:p>
        </w:tc>
        <w:tc>
          <w:tcPr>
            <w:tcW w:type="dxa" w:w="792"/>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584"/>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2520"/>
            <w:shd w:fill="F5F0E7" w:val="clear"/>
          </w:tcPr>
          <w:p>
            <w:pPr>
              <w:spacing w:after="60" w:before="60" w:line="252" w:lineRule="auto"/>
            </w:pPr>
            <w:r>
              <w:rPr>
                <w:rFonts w:ascii="Aptos" w:hAnsi="Aptos"/>
                <w:color w:val="303236"/>
                <w:sz w:val="17"/>
              </w:rPr>
            </w:r>
          </w:p>
        </w:tc>
      </w:tr>
      <w:tr>
        <w:trPr>
          <w:cantSplit/>
        </w:trPr>
        <w:tc>
          <w:tcPr>
            <w:tcW w:type="dxa" w:w="2160"/>
          </w:tcPr>
          <w:p>
            <w:pPr>
              <w:spacing w:after="60" w:before="60" w:line="252" w:lineRule="auto"/>
            </w:pPr>
            <w:r>
              <w:rPr>
                <w:rFonts w:ascii="Aptos" w:hAnsi="Aptos"/>
                <w:color w:val="303236"/>
                <w:sz w:val="17"/>
              </w:rPr>
              <w:t>Data preparation, governance, and access</w:t>
            </w:r>
          </w:p>
        </w:tc>
        <w:tc>
          <w:tcPr>
            <w:tcW w:type="dxa" w:w="1872"/>
          </w:tcPr>
          <w:p>
            <w:pPr>
              <w:spacing w:after="60" w:before="60" w:line="252" w:lineRule="auto"/>
            </w:pPr>
            <w:r>
              <w:rPr>
                <w:rFonts w:ascii="Aptos" w:hAnsi="Aptos"/>
                <w:color w:val="303236"/>
                <w:sz w:val="17"/>
              </w:rPr>
            </w:r>
          </w:p>
        </w:tc>
        <w:tc>
          <w:tcPr>
            <w:tcW w:type="dxa" w:w="792"/>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584"/>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2520"/>
          </w:tcPr>
          <w:p>
            <w:pPr>
              <w:spacing w:after="60" w:before="60" w:line="252" w:lineRule="auto"/>
            </w:pPr>
            <w:r>
              <w:rPr>
                <w:rFonts w:ascii="Aptos" w:hAnsi="Aptos"/>
                <w:color w:val="303236"/>
                <w:sz w:val="17"/>
              </w:rPr>
            </w:r>
          </w:p>
        </w:tc>
      </w:tr>
      <w:tr>
        <w:trPr>
          <w:cantSplit/>
        </w:trPr>
        <w:tc>
          <w:tcPr>
            <w:tcW w:type="dxa" w:w="2160"/>
            <w:shd w:fill="F5F0E7" w:val="clear"/>
          </w:tcPr>
          <w:p>
            <w:pPr>
              <w:spacing w:after="60" w:before="60" w:line="252" w:lineRule="auto"/>
            </w:pPr>
            <w:r>
              <w:rPr>
                <w:rFonts w:ascii="Aptos" w:hAnsi="Aptos"/>
                <w:color w:val="303236"/>
                <w:sz w:val="17"/>
              </w:rPr>
              <w:t>Integration, infrastructure, and interoperability</w:t>
            </w:r>
          </w:p>
        </w:tc>
        <w:tc>
          <w:tcPr>
            <w:tcW w:type="dxa" w:w="1872"/>
            <w:shd w:fill="F5F0E7" w:val="clear"/>
          </w:tcPr>
          <w:p>
            <w:pPr>
              <w:spacing w:after="60" w:before="60" w:line="252" w:lineRule="auto"/>
            </w:pPr>
            <w:r>
              <w:rPr>
                <w:rFonts w:ascii="Aptos" w:hAnsi="Aptos"/>
                <w:color w:val="303236"/>
                <w:sz w:val="17"/>
              </w:rPr>
            </w:r>
          </w:p>
        </w:tc>
        <w:tc>
          <w:tcPr>
            <w:tcW w:type="dxa" w:w="792"/>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584"/>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2520"/>
            <w:shd w:fill="F5F0E7" w:val="clear"/>
          </w:tcPr>
          <w:p>
            <w:pPr>
              <w:spacing w:after="60" w:before="60" w:line="252" w:lineRule="auto"/>
            </w:pPr>
            <w:r>
              <w:rPr>
                <w:rFonts w:ascii="Aptos" w:hAnsi="Aptos"/>
                <w:color w:val="303236"/>
                <w:sz w:val="17"/>
              </w:rPr>
            </w:r>
          </w:p>
        </w:tc>
      </w:tr>
      <w:tr>
        <w:trPr>
          <w:cantSplit/>
        </w:trPr>
        <w:tc>
          <w:tcPr>
            <w:tcW w:type="dxa" w:w="2160"/>
          </w:tcPr>
          <w:p>
            <w:pPr>
              <w:spacing w:after="60" w:before="60" w:line="252" w:lineRule="auto"/>
            </w:pPr>
            <w:r>
              <w:rPr>
                <w:rFonts w:ascii="Aptos" w:hAnsi="Aptos"/>
                <w:color w:val="303236"/>
                <w:sz w:val="17"/>
              </w:rPr>
              <w:t>Validation, assurance, and implementation</w:t>
            </w:r>
          </w:p>
        </w:tc>
        <w:tc>
          <w:tcPr>
            <w:tcW w:type="dxa" w:w="1872"/>
          </w:tcPr>
          <w:p>
            <w:pPr>
              <w:spacing w:after="60" w:before="60" w:line="252" w:lineRule="auto"/>
            </w:pPr>
            <w:r>
              <w:rPr>
                <w:rFonts w:ascii="Aptos" w:hAnsi="Aptos"/>
                <w:color w:val="303236"/>
                <w:sz w:val="17"/>
              </w:rPr>
            </w:r>
          </w:p>
        </w:tc>
        <w:tc>
          <w:tcPr>
            <w:tcW w:type="dxa" w:w="792"/>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584"/>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2520"/>
          </w:tcPr>
          <w:p>
            <w:pPr>
              <w:spacing w:after="60" w:before="60" w:line="252" w:lineRule="auto"/>
            </w:pPr>
            <w:r>
              <w:rPr>
                <w:rFonts w:ascii="Aptos" w:hAnsi="Aptos"/>
                <w:color w:val="303236"/>
                <w:sz w:val="17"/>
              </w:rPr>
            </w:r>
          </w:p>
        </w:tc>
      </w:tr>
      <w:tr>
        <w:trPr>
          <w:cantSplit/>
        </w:trPr>
        <w:tc>
          <w:tcPr>
            <w:tcW w:type="dxa" w:w="2160"/>
            <w:shd w:fill="F5F0E7" w:val="clear"/>
          </w:tcPr>
          <w:p>
            <w:pPr>
              <w:spacing w:after="60" w:before="60" w:line="252" w:lineRule="auto"/>
            </w:pPr>
            <w:r>
              <w:rPr>
                <w:rFonts w:ascii="Aptos" w:hAnsi="Aptos"/>
                <w:color w:val="303236"/>
                <w:sz w:val="17"/>
              </w:rPr>
              <w:t>Training, workflow redesign, and human review</w:t>
            </w:r>
          </w:p>
        </w:tc>
        <w:tc>
          <w:tcPr>
            <w:tcW w:type="dxa" w:w="1872"/>
            <w:shd w:fill="F5F0E7" w:val="clear"/>
          </w:tcPr>
          <w:p>
            <w:pPr>
              <w:spacing w:after="60" w:before="60" w:line="252" w:lineRule="auto"/>
            </w:pPr>
            <w:r>
              <w:rPr>
                <w:rFonts w:ascii="Aptos" w:hAnsi="Aptos"/>
                <w:color w:val="303236"/>
                <w:sz w:val="17"/>
              </w:rPr>
            </w:r>
          </w:p>
        </w:tc>
        <w:tc>
          <w:tcPr>
            <w:tcW w:type="dxa" w:w="792"/>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584"/>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2520"/>
            <w:shd w:fill="F5F0E7" w:val="clear"/>
          </w:tcPr>
          <w:p>
            <w:pPr>
              <w:spacing w:after="60" w:before="60" w:line="252" w:lineRule="auto"/>
            </w:pPr>
            <w:r>
              <w:rPr>
                <w:rFonts w:ascii="Aptos" w:hAnsi="Aptos"/>
                <w:color w:val="303236"/>
                <w:sz w:val="17"/>
              </w:rPr>
            </w:r>
          </w:p>
        </w:tc>
      </w:tr>
      <w:tr>
        <w:trPr>
          <w:cantSplit/>
        </w:trPr>
        <w:tc>
          <w:tcPr>
            <w:tcW w:type="dxa" w:w="2160"/>
          </w:tcPr>
          <w:p>
            <w:pPr>
              <w:spacing w:after="60" w:before="60" w:line="252" w:lineRule="auto"/>
            </w:pPr>
            <w:r>
              <w:rPr>
                <w:rFonts w:ascii="Aptos" w:hAnsi="Aptos"/>
                <w:color w:val="303236"/>
                <w:sz w:val="17"/>
              </w:rPr>
              <w:t>Quality, ethics, legal, privacy, and audit</w:t>
            </w:r>
          </w:p>
        </w:tc>
        <w:tc>
          <w:tcPr>
            <w:tcW w:type="dxa" w:w="1872"/>
          </w:tcPr>
          <w:p>
            <w:pPr>
              <w:spacing w:after="60" w:before="60" w:line="252" w:lineRule="auto"/>
            </w:pPr>
            <w:r>
              <w:rPr>
                <w:rFonts w:ascii="Aptos" w:hAnsi="Aptos"/>
                <w:color w:val="303236"/>
                <w:sz w:val="17"/>
              </w:rPr>
            </w:r>
          </w:p>
        </w:tc>
        <w:tc>
          <w:tcPr>
            <w:tcW w:type="dxa" w:w="792"/>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584"/>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2520"/>
          </w:tcPr>
          <w:p>
            <w:pPr>
              <w:spacing w:after="60" w:before="60" w:line="252" w:lineRule="auto"/>
            </w:pPr>
            <w:r>
              <w:rPr>
                <w:rFonts w:ascii="Aptos" w:hAnsi="Aptos"/>
                <w:color w:val="303236"/>
                <w:sz w:val="17"/>
              </w:rPr>
            </w:r>
          </w:p>
        </w:tc>
      </w:tr>
      <w:tr>
        <w:trPr>
          <w:cantSplit/>
        </w:trPr>
        <w:tc>
          <w:tcPr>
            <w:tcW w:type="dxa" w:w="2160"/>
            <w:shd w:fill="F5F0E7" w:val="clear"/>
          </w:tcPr>
          <w:p>
            <w:pPr>
              <w:spacing w:after="60" w:before="60" w:line="252" w:lineRule="auto"/>
            </w:pPr>
            <w:r>
              <w:rPr>
                <w:rFonts w:ascii="Aptos" w:hAnsi="Aptos"/>
                <w:color w:val="303236"/>
                <w:sz w:val="17"/>
              </w:rPr>
              <w:t>Cybersecurity, resilience, downtime, and incidents</w:t>
            </w:r>
          </w:p>
        </w:tc>
        <w:tc>
          <w:tcPr>
            <w:tcW w:type="dxa" w:w="1872"/>
            <w:shd w:fill="F5F0E7" w:val="clear"/>
          </w:tcPr>
          <w:p>
            <w:pPr>
              <w:spacing w:after="60" w:before="60" w:line="252" w:lineRule="auto"/>
            </w:pPr>
            <w:r>
              <w:rPr>
                <w:rFonts w:ascii="Aptos" w:hAnsi="Aptos"/>
                <w:color w:val="303236"/>
                <w:sz w:val="17"/>
              </w:rPr>
            </w:r>
          </w:p>
        </w:tc>
        <w:tc>
          <w:tcPr>
            <w:tcW w:type="dxa" w:w="792"/>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584"/>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2520"/>
            <w:shd w:fill="F5F0E7" w:val="clear"/>
          </w:tcPr>
          <w:p>
            <w:pPr>
              <w:spacing w:after="60" w:before="60" w:line="252" w:lineRule="auto"/>
            </w:pPr>
            <w:r>
              <w:rPr>
                <w:rFonts w:ascii="Aptos" w:hAnsi="Aptos"/>
                <w:color w:val="303236"/>
                <w:sz w:val="17"/>
              </w:rPr>
            </w:r>
          </w:p>
        </w:tc>
      </w:tr>
      <w:tr>
        <w:trPr>
          <w:cantSplit/>
        </w:trPr>
        <w:tc>
          <w:tcPr>
            <w:tcW w:type="dxa" w:w="2160"/>
          </w:tcPr>
          <w:p>
            <w:pPr>
              <w:spacing w:after="60" w:before="60" w:line="252" w:lineRule="auto"/>
            </w:pPr>
            <w:r>
              <w:rPr>
                <w:rFonts w:ascii="Aptos" w:hAnsi="Aptos"/>
                <w:color w:val="303236"/>
                <w:sz w:val="17"/>
              </w:rPr>
              <w:t>Monitoring, updates, support, and renewal</w:t>
            </w:r>
          </w:p>
        </w:tc>
        <w:tc>
          <w:tcPr>
            <w:tcW w:type="dxa" w:w="1872"/>
          </w:tcPr>
          <w:p>
            <w:pPr>
              <w:spacing w:after="60" w:before="60" w:line="252" w:lineRule="auto"/>
            </w:pPr>
            <w:r>
              <w:rPr>
                <w:rFonts w:ascii="Aptos" w:hAnsi="Aptos"/>
                <w:color w:val="303236"/>
                <w:sz w:val="17"/>
              </w:rPr>
            </w:r>
          </w:p>
        </w:tc>
        <w:tc>
          <w:tcPr>
            <w:tcW w:type="dxa" w:w="792"/>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584"/>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2520"/>
          </w:tcPr>
          <w:p>
            <w:pPr>
              <w:spacing w:after="60" w:before="60" w:line="252" w:lineRule="auto"/>
            </w:pPr>
            <w:r>
              <w:rPr>
                <w:rFonts w:ascii="Aptos" w:hAnsi="Aptos"/>
                <w:color w:val="303236"/>
                <w:sz w:val="17"/>
              </w:rPr>
            </w:r>
          </w:p>
        </w:tc>
      </w:tr>
      <w:tr>
        <w:trPr>
          <w:cantSplit/>
        </w:trPr>
        <w:tc>
          <w:tcPr>
            <w:tcW w:type="dxa" w:w="2160"/>
            <w:shd w:fill="F5F0E7" w:val="clear"/>
          </w:tcPr>
          <w:p>
            <w:pPr>
              <w:spacing w:after="60" w:before="60" w:line="252" w:lineRule="auto"/>
            </w:pPr>
            <w:r>
              <w:rPr>
                <w:rFonts w:ascii="Aptos" w:hAnsi="Aptos"/>
                <w:color w:val="303236"/>
                <w:sz w:val="17"/>
              </w:rPr>
              <w:t>Opportunity cost and displaced or released capacity</w:t>
            </w:r>
          </w:p>
        </w:tc>
        <w:tc>
          <w:tcPr>
            <w:tcW w:type="dxa" w:w="1872"/>
            <w:shd w:fill="F5F0E7" w:val="clear"/>
          </w:tcPr>
          <w:p>
            <w:pPr>
              <w:spacing w:after="60" w:before="60" w:line="252" w:lineRule="auto"/>
            </w:pPr>
            <w:r>
              <w:rPr>
                <w:rFonts w:ascii="Aptos" w:hAnsi="Aptos"/>
                <w:color w:val="303236"/>
                <w:sz w:val="17"/>
              </w:rPr>
            </w:r>
          </w:p>
        </w:tc>
        <w:tc>
          <w:tcPr>
            <w:tcW w:type="dxa" w:w="792"/>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584"/>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2520"/>
            <w:shd w:fill="F5F0E7" w:val="clear"/>
          </w:tcPr>
          <w:p>
            <w:pPr>
              <w:spacing w:after="60" w:before="60" w:line="252" w:lineRule="auto"/>
            </w:pPr>
            <w:r>
              <w:rPr>
                <w:rFonts w:ascii="Aptos" w:hAnsi="Aptos"/>
                <w:color w:val="303236"/>
                <w:sz w:val="17"/>
              </w:rPr>
            </w:r>
          </w:p>
        </w:tc>
      </w:tr>
      <w:tr>
        <w:trPr>
          <w:cantSplit/>
        </w:trPr>
        <w:tc>
          <w:tcPr>
            <w:tcW w:type="dxa" w:w="2160"/>
          </w:tcPr>
          <w:p>
            <w:pPr>
              <w:spacing w:after="60" w:before="60" w:line="252" w:lineRule="auto"/>
            </w:pPr>
            <w:r>
              <w:rPr>
                <w:rFonts w:ascii="Aptos" w:hAnsi="Aptos"/>
                <w:color w:val="303236"/>
                <w:sz w:val="17"/>
              </w:rPr>
              <w:t>Transition, replacement, retirement, and exit</w:t>
            </w:r>
          </w:p>
        </w:tc>
        <w:tc>
          <w:tcPr>
            <w:tcW w:type="dxa" w:w="1872"/>
          </w:tcPr>
          <w:p>
            <w:pPr>
              <w:spacing w:after="60" w:before="60" w:line="252" w:lineRule="auto"/>
            </w:pPr>
            <w:r>
              <w:rPr>
                <w:rFonts w:ascii="Aptos" w:hAnsi="Aptos"/>
                <w:color w:val="303236"/>
                <w:sz w:val="17"/>
              </w:rPr>
            </w:r>
          </w:p>
        </w:tc>
        <w:tc>
          <w:tcPr>
            <w:tcW w:type="dxa" w:w="792"/>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296"/>
          </w:tcPr>
          <w:p>
            <w:pPr>
              <w:spacing w:after="60" w:before="60" w:line="252" w:lineRule="auto"/>
            </w:pPr>
            <w:r>
              <w:rPr>
                <w:rFonts w:ascii="Aptos" w:hAnsi="Aptos"/>
                <w:color w:val="303236"/>
                <w:sz w:val="17"/>
              </w:rPr>
            </w:r>
          </w:p>
        </w:tc>
        <w:tc>
          <w:tcPr>
            <w:tcW w:type="dxa" w:w="1584"/>
          </w:tcPr>
          <w:p>
            <w:pPr>
              <w:spacing w:after="60" w:before="60" w:line="252" w:lineRule="auto"/>
            </w:pPr>
            <w:r>
              <w:rPr>
                <w:rFonts w:ascii="Aptos" w:hAnsi="Aptos"/>
                <w:color w:val="303236"/>
                <w:sz w:val="17"/>
              </w:rPr>
            </w:r>
          </w:p>
        </w:tc>
        <w:tc>
          <w:tcPr>
            <w:tcW w:type="dxa" w:w="1224"/>
          </w:tcPr>
          <w:p>
            <w:pPr>
              <w:spacing w:after="60" w:before="60" w:line="252" w:lineRule="auto"/>
            </w:pPr>
            <w:r>
              <w:rPr>
                <w:rFonts w:ascii="Aptos" w:hAnsi="Aptos"/>
                <w:color w:val="303236"/>
                <w:sz w:val="17"/>
              </w:rPr>
            </w:r>
          </w:p>
        </w:tc>
        <w:tc>
          <w:tcPr>
            <w:tcW w:type="dxa" w:w="2520"/>
          </w:tcPr>
          <w:p>
            <w:pPr>
              <w:spacing w:after="60" w:before="60" w:line="252" w:lineRule="auto"/>
            </w:pPr>
            <w:r>
              <w:rPr>
                <w:rFonts w:ascii="Aptos" w:hAnsi="Aptos"/>
                <w:color w:val="303236"/>
                <w:sz w:val="17"/>
              </w:rPr>
            </w:r>
          </w:p>
        </w:tc>
      </w:tr>
      <w:tr>
        <w:trPr>
          <w:cantSplit/>
        </w:trPr>
        <w:tc>
          <w:tcPr>
            <w:tcW w:type="dxa" w:w="2160"/>
            <w:shd w:fill="F5F0E7" w:val="clear"/>
          </w:tcPr>
          <w:p>
            <w:pPr>
              <w:spacing w:after="60" w:before="60" w:line="252" w:lineRule="auto"/>
            </w:pPr>
            <w:r>
              <w:rPr>
                <w:rFonts w:ascii="Aptos" w:hAnsi="Aptos"/>
                <w:color w:val="303236"/>
                <w:sz w:val="17"/>
              </w:rPr>
              <w:t>Realizable residual value or recovery credit</w:t>
            </w:r>
          </w:p>
        </w:tc>
        <w:tc>
          <w:tcPr>
            <w:tcW w:type="dxa" w:w="1872"/>
            <w:shd w:fill="F5F0E7" w:val="clear"/>
          </w:tcPr>
          <w:p>
            <w:pPr>
              <w:spacing w:after="60" w:before="60" w:line="252" w:lineRule="auto"/>
            </w:pPr>
            <w:r>
              <w:rPr>
                <w:rFonts w:ascii="Aptos" w:hAnsi="Aptos"/>
                <w:color w:val="303236"/>
                <w:sz w:val="17"/>
              </w:rPr>
            </w:r>
          </w:p>
        </w:tc>
        <w:tc>
          <w:tcPr>
            <w:tcW w:type="dxa" w:w="792"/>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296"/>
            <w:shd w:fill="F5F0E7" w:val="clear"/>
          </w:tcPr>
          <w:p>
            <w:pPr>
              <w:spacing w:after="60" w:before="60" w:line="252" w:lineRule="auto"/>
            </w:pPr>
            <w:r>
              <w:rPr>
                <w:rFonts w:ascii="Aptos" w:hAnsi="Aptos"/>
                <w:color w:val="303236"/>
                <w:sz w:val="17"/>
              </w:rPr>
            </w:r>
          </w:p>
        </w:tc>
        <w:tc>
          <w:tcPr>
            <w:tcW w:type="dxa" w:w="1584"/>
            <w:shd w:fill="F5F0E7" w:val="clear"/>
          </w:tcPr>
          <w:p>
            <w:pPr>
              <w:spacing w:after="60" w:before="60" w:line="252" w:lineRule="auto"/>
            </w:pPr>
            <w:r>
              <w:rPr>
                <w:rFonts w:ascii="Aptos" w:hAnsi="Aptos"/>
                <w:color w:val="303236"/>
                <w:sz w:val="17"/>
              </w:rPr>
            </w:r>
          </w:p>
        </w:tc>
        <w:tc>
          <w:tcPr>
            <w:tcW w:type="dxa" w:w="1224"/>
            <w:shd w:fill="F5F0E7" w:val="clear"/>
          </w:tcPr>
          <w:p>
            <w:pPr>
              <w:spacing w:after="60" w:before="60" w:line="252" w:lineRule="auto"/>
            </w:pPr>
            <w:r>
              <w:rPr>
                <w:rFonts w:ascii="Aptos" w:hAnsi="Aptos"/>
                <w:color w:val="303236"/>
                <w:sz w:val="17"/>
              </w:rPr>
            </w:r>
          </w:p>
        </w:tc>
        <w:tc>
          <w:tcPr>
            <w:tcW w:type="dxa" w:w="2520"/>
            <w:shd w:fill="F5F0E7" w:val="clear"/>
          </w:tcPr>
          <w:p>
            <w:pPr>
              <w:spacing w:after="60" w:before="60" w:line="252" w:lineRule="auto"/>
            </w:pPr>
            <w:r>
              <w:rPr>
                <w:rFonts w:ascii="Aptos" w:hAnsi="Aptos"/>
                <w:color w:val="303236"/>
                <w:sz w:val="17"/>
              </w:rPr>
            </w:r>
          </w:p>
        </w:tc>
      </w:tr>
    </w:tbl>
    <w:p>
      <w:r>
        <w:rPr>
          <w:rFonts w:ascii="Aptos" w:hAnsi="Aptos"/>
          <w:sz w:val="16"/>
        </w:rPr>
        <w:t>Local record control: owner __________________  evidence cut-off __________  next review __________  local version __________</w:t>
      </w:r>
    </w:p>
    <w:p>
      <w:pPr>
        <w:pageBreakBefore/>
        <w:spacing w:after="80"/>
      </w:pPr>
      <w:r>
        <w:rPr>
          <w:rFonts w:ascii="Aptos" w:hAnsi="Aptos"/>
          <w:color w:val="877567"/>
          <w:sz w:val="18"/>
        </w:rPr>
        <w:t>Part III — Economic Evaluation, Decision Modelling, and Procurement</w:t>
      </w:r>
    </w:p>
    <w:p>
      <w:pPr>
        <w:pStyle w:val="Heading1"/>
      </w:pPr>
      <w:r>
        <w:t>AIHE-B04 — Cost-Effectiveness, Budget Impact, and HTA Record</w:t>
      </w:r>
    </w:p>
    <w:p>
      <w:pPr>
        <w:spacing w:after="80"/>
      </w:pPr>
      <w:r>
        <w:rPr>
          <w:color w:val="877567"/>
          <w:sz w:val="20"/>
        </w:rPr>
        <w:t>Chapter 7: Economic Evaluation, Affordability, and Health Technology Assessment</w:t>
      </w:r>
    </w:p>
    <w:p>
      <w:r>
        <w:t>Summarize cost-effectiveness, affordability, distribution, HTA, reimbursement, adoption conditions, uncertainty, and recommendation.</w:t>
      </w:r>
    </w:p>
    <w:p>
      <w:r>
        <w:rPr>
          <w:rFonts w:ascii="Aptos" w:hAnsi="Aptos"/>
          <w:sz w:val="17"/>
        </w:rPr>
        <w:t>Resource: AIHE-B04  |  V1.0  |  Aligned chapters: 7, 8, 9, 11</w:t>
      </w:r>
    </w:p>
    <w:p>
      <w:r>
        <w:t>Complete the record with the people who own the evidence, workflow, budget, safeguards, and follow-up action. Distinguish documented evidence from assumptions and planned evidence collection. Record the exact intervention and version, accountable owner, decision conditions, evidence cut-off, review date, and trigger events.</w:t>
      </w:r>
    </w:p>
    <w:tbl>
      <w:tblPr>
        <w:tblW w:type="auto" w:w="0"/>
        <w:tblLayout w:type="fixed"/>
        <w:tblLook w:firstColumn="1" w:firstRow="1" w:lastColumn="0" w:lastRow="0" w:noHBand="0" w:noVBand="1" w:val="04A0"/>
        <w:tblBorders>
          <w:top w:val="single" w:sz="4" w:color="D9D0C2"/>
          <w:left w:val="single" w:sz="4" w:color="D9D0C2"/>
          <w:bottom w:val="single" w:sz="4" w:color="D9D0C2"/>
          <w:right w:val="single" w:sz="4" w:color="D9D0C2"/>
          <w:insideH w:val="single" w:sz="4" w:color="D9D0C2"/>
          <w:insideV w:val="single" w:sz="4" w:color="D9D0C2"/>
        </w:tblBorders>
        <w:tblCellMar>
          <w:top w:w="80" w:type="dxa"/>
          <w:left w:w="80" w:type="dxa"/>
          <w:bottom w:w="80" w:type="dxa"/>
          <w:right w:w="80" w:type="dxa"/>
        </w:tblCellMar>
      </w:tblPr>
      <w:tblGrid>
        <w:gridCol w:w="3175"/>
        <w:gridCol w:w="6349"/>
        <w:gridCol w:w="4444"/>
      </w:tblGrid>
      <w:tr>
        <w:trPr>
          <w:tblHeader/>
          <w:cantSplit/>
        </w:trPr>
        <w:tc>
          <w:tcPr>
            <w:tcW w:type="dxa" w:w="3175"/>
            <w:shd w:fill="6B2230" w:val="clear"/>
          </w:tcPr>
          <w:p>
            <w:pPr>
              <w:spacing w:after="60" w:before="60"/>
            </w:pPr>
            <w:r>
              <w:rPr>
                <w:rFonts w:ascii="Aptos" w:hAnsi="Aptos"/>
                <w:b/>
                <w:color w:val="FFFFFF"/>
                <w:sz w:val="18"/>
              </w:rPr>
              <w:t>Field</w:t>
            </w:r>
          </w:p>
        </w:tc>
        <w:tc>
          <w:tcPr>
            <w:tcW w:type="dxa" w:w="6349"/>
            <w:shd w:fill="6B2230" w:val="clear"/>
          </w:tcPr>
          <w:p>
            <w:pPr>
              <w:spacing w:after="60" w:before="60"/>
            </w:pPr>
            <w:r>
              <w:rPr>
                <w:rFonts w:ascii="Aptos" w:hAnsi="Aptos"/>
                <w:b/>
                <w:color w:val="FFFFFF"/>
                <w:sz w:val="18"/>
              </w:rPr>
              <w:t>Guidance</w:t>
            </w:r>
          </w:p>
        </w:tc>
        <w:tc>
          <w:tcPr>
            <w:tcW w:type="dxa" w:w="4444"/>
            <w:shd w:fill="6B2230" w:val="clear"/>
          </w:tcPr>
          <w:p>
            <w:pPr>
              <w:spacing w:after="60" w:before="60"/>
            </w:pPr>
            <w:r>
              <w:rPr>
                <w:rFonts w:ascii="Aptos" w:hAnsi="Aptos"/>
                <w:b/>
                <w:color w:val="FFFFFF"/>
                <w:sz w:val="18"/>
              </w:rPr>
              <w:t>Institutional response</w:t>
            </w:r>
          </w:p>
        </w:tc>
      </w:tr>
      <w:tr>
        <w:trPr>
          <w:cantSplit/>
        </w:trPr>
        <w:tc>
          <w:tcPr>
            <w:tcW w:type="dxa" w:w="3175"/>
            <w:shd w:fill="F5F0E7" w:val="clear"/>
          </w:tcPr>
          <w:p>
            <w:pPr>
              <w:spacing w:after="60" w:before="60" w:line="252" w:lineRule="auto"/>
            </w:pPr>
            <w:r>
              <w:rPr>
                <w:rFonts w:ascii="Aptos" w:hAnsi="Aptos"/>
                <w:color w:val="303236"/>
                <w:sz w:val="18"/>
              </w:rPr>
              <w:t>Incremental cost and outcome</w:t>
            </w:r>
          </w:p>
        </w:tc>
        <w:tc>
          <w:tcPr>
            <w:tcW w:type="dxa" w:w="6349"/>
            <w:shd w:fill="F5F0E7" w:val="clear"/>
          </w:tcPr>
          <w:p>
            <w:pPr>
              <w:spacing w:after="60" w:before="60" w:line="252" w:lineRule="auto"/>
            </w:pPr>
            <w:r>
              <w:rPr>
                <w:rFonts w:ascii="Aptos" w:hAnsi="Aptos"/>
                <w:color w:val="303236"/>
                <w:sz w:val="18"/>
              </w:rPr>
              <w:t>Report disaggregated and summary results relative to the comparator.</w:t>
            </w:r>
          </w:p>
        </w:tc>
        <w:tc>
          <w:tcPr>
            <w:tcW w:type="dxa" w:w="4444"/>
            <w:shd w:fill="F5F0E7" w:val="clear"/>
          </w:tcPr>
          <w:p>
            <w:pPr>
              <w:spacing w:after="60" w:before="60" w:line="252" w:lineRule="auto"/>
            </w:pPr>
            <w:r>
              <w:rPr>
                <w:rFonts w:ascii="Aptos" w:hAnsi="Aptos"/>
                <w:color w:val="303236"/>
                <w:sz w:val="18"/>
              </w:rPr>
            </w:r>
          </w:p>
        </w:tc>
      </w:tr>
      <w:tr>
        <w:trPr>
          <w:cantSplit/>
        </w:trPr>
        <w:tc>
          <w:tcPr>
            <w:tcW w:type="dxa" w:w="3175"/>
          </w:tcPr>
          <w:p>
            <w:pPr>
              <w:spacing w:after="60" w:before="60" w:line="252" w:lineRule="auto"/>
            </w:pPr>
            <w:r>
              <w:rPr>
                <w:rFonts w:ascii="Aptos" w:hAnsi="Aptos"/>
                <w:color w:val="303236"/>
                <w:sz w:val="18"/>
              </w:rPr>
              <w:t>ICER or net benefit</w:t>
            </w:r>
          </w:p>
        </w:tc>
        <w:tc>
          <w:tcPr>
            <w:tcW w:type="dxa" w:w="6349"/>
          </w:tcPr>
          <w:p>
            <w:pPr>
              <w:spacing w:after="60" w:before="60" w:line="252" w:lineRule="auto"/>
            </w:pPr>
            <w:r>
              <w:rPr>
                <w:rFonts w:ascii="Aptos" w:hAnsi="Aptos"/>
                <w:color w:val="303236"/>
                <w:sz w:val="18"/>
              </w:rPr>
              <w:t>State the threshold, currency and price year, and probability that the preferred option is cost-effective.</w:t>
            </w:r>
          </w:p>
        </w:tc>
        <w:tc>
          <w:tcPr>
            <w:tcW w:type="dxa" w:w="4444"/>
          </w:tcPr>
          <w:p>
            <w:pPr>
              <w:spacing w:after="60" w:before="60" w:line="252" w:lineRule="auto"/>
            </w:pPr>
            <w:r>
              <w:rPr>
                <w:rFonts w:ascii="Aptos" w:hAnsi="Aptos"/>
                <w:color w:val="303236"/>
                <w:sz w:val="18"/>
              </w:rPr>
            </w:r>
          </w:p>
        </w:tc>
      </w:tr>
      <w:tr>
        <w:trPr>
          <w:cantSplit/>
        </w:trPr>
        <w:tc>
          <w:tcPr>
            <w:tcW w:type="dxa" w:w="3175"/>
            <w:shd w:fill="F5F0E7" w:val="clear"/>
          </w:tcPr>
          <w:p>
            <w:pPr>
              <w:spacing w:after="60" w:before="60" w:line="252" w:lineRule="auto"/>
            </w:pPr>
            <w:r>
              <w:rPr>
                <w:rFonts w:ascii="Aptos" w:hAnsi="Aptos"/>
                <w:color w:val="303236"/>
                <w:sz w:val="18"/>
              </w:rPr>
              <w:t>Budget impact</w:t>
            </w:r>
          </w:p>
        </w:tc>
        <w:tc>
          <w:tcPr>
            <w:tcW w:type="dxa" w:w="6349"/>
            <w:shd w:fill="F5F0E7" w:val="clear"/>
          </w:tcPr>
          <w:p>
            <w:pPr>
              <w:spacing w:after="60" w:before="60" w:line="252" w:lineRule="auto"/>
            </w:pPr>
            <w:r>
              <w:rPr>
                <w:rFonts w:ascii="Aptos" w:hAnsi="Aptos"/>
                <w:color w:val="303236"/>
                <w:sz w:val="18"/>
              </w:rPr>
              <w:t>Report eligible volume, uptake, implementation timing, annual cash flow, funding source, and cashable versus non-cashable savings.</w:t>
            </w:r>
          </w:p>
        </w:tc>
        <w:tc>
          <w:tcPr>
            <w:tcW w:type="dxa" w:w="4444"/>
            <w:shd w:fill="F5F0E7" w:val="clear"/>
          </w:tcPr>
          <w:p>
            <w:pPr>
              <w:spacing w:after="60" w:before="60" w:line="252" w:lineRule="auto"/>
            </w:pPr>
            <w:r>
              <w:rPr>
                <w:rFonts w:ascii="Aptos" w:hAnsi="Aptos"/>
                <w:color w:val="303236"/>
                <w:sz w:val="18"/>
              </w:rPr>
            </w:r>
          </w:p>
        </w:tc>
      </w:tr>
      <w:tr>
        <w:trPr>
          <w:cantSplit/>
        </w:trPr>
        <w:tc>
          <w:tcPr>
            <w:tcW w:type="dxa" w:w="3175"/>
          </w:tcPr>
          <w:p>
            <w:pPr>
              <w:spacing w:after="60" w:before="60" w:line="252" w:lineRule="auto"/>
            </w:pPr>
            <w:r>
              <w:rPr>
                <w:rFonts w:ascii="Aptos" w:hAnsi="Aptos"/>
                <w:color w:val="303236"/>
                <w:sz w:val="18"/>
              </w:rPr>
              <w:t>Distribution and equity</w:t>
            </w:r>
          </w:p>
        </w:tc>
        <w:tc>
          <w:tcPr>
            <w:tcW w:type="dxa" w:w="6349"/>
          </w:tcPr>
          <w:p>
            <w:pPr>
              <w:spacing w:after="60" w:before="60" w:line="252" w:lineRule="auto"/>
            </w:pPr>
            <w:r>
              <w:rPr>
                <w:rFonts w:ascii="Aptos" w:hAnsi="Aptos"/>
                <w:color w:val="303236"/>
                <w:sz w:val="18"/>
              </w:rPr>
              <w:t>Report subgroup outcomes, access, burdens, opportunity costs, mitigation, and residual concern.</w:t>
            </w:r>
          </w:p>
        </w:tc>
        <w:tc>
          <w:tcPr>
            <w:tcW w:type="dxa" w:w="4444"/>
          </w:tcPr>
          <w:p>
            <w:pPr>
              <w:spacing w:after="60" w:before="60" w:line="252" w:lineRule="auto"/>
            </w:pPr>
            <w:r>
              <w:rPr>
                <w:rFonts w:ascii="Aptos" w:hAnsi="Aptos"/>
                <w:color w:val="303236"/>
                <w:sz w:val="18"/>
              </w:rPr>
            </w:r>
          </w:p>
        </w:tc>
      </w:tr>
      <w:tr>
        <w:trPr>
          <w:cantSplit/>
        </w:trPr>
        <w:tc>
          <w:tcPr>
            <w:tcW w:type="dxa" w:w="3175"/>
            <w:shd w:fill="F5F0E7" w:val="clear"/>
          </w:tcPr>
          <w:p>
            <w:pPr>
              <w:spacing w:after="60" w:before="60" w:line="252" w:lineRule="auto"/>
            </w:pPr>
            <w:r>
              <w:rPr>
                <w:rFonts w:ascii="Aptos" w:hAnsi="Aptos"/>
                <w:color w:val="303236"/>
                <w:sz w:val="18"/>
              </w:rPr>
              <w:t>Regulatory and clinical evidence status</w:t>
            </w:r>
          </w:p>
        </w:tc>
        <w:tc>
          <w:tcPr>
            <w:tcW w:type="dxa" w:w="6349"/>
            <w:shd w:fill="F5F0E7" w:val="clear"/>
          </w:tcPr>
          <w:p>
            <w:pPr>
              <w:spacing w:after="60" w:before="60" w:line="252" w:lineRule="auto"/>
            </w:pPr>
            <w:r>
              <w:rPr>
                <w:rFonts w:ascii="Aptos" w:hAnsi="Aptos"/>
                <w:color w:val="303236"/>
                <w:sz w:val="18"/>
              </w:rPr>
              <w:t>Distinguish authorization, external clinical evidence, joint or national assessment, and local evidence.</w:t>
            </w:r>
          </w:p>
        </w:tc>
        <w:tc>
          <w:tcPr>
            <w:tcW w:type="dxa" w:w="4444"/>
            <w:shd w:fill="F5F0E7" w:val="clear"/>
          </w:tcPr>
          <w:p>
            <w:pPr>
              <w:spacing w:after="60" w:before="60" w:line="252" w:lineRule="auto"/>
            </w:pPr>
            <w:r>
              <w:rPr>
                <w:rFonts w:ascii="Aptos" w:hAnsi="Aptos"/>
                <w:color w:val="303236"/>
                <w:sz w:val="18"/>
              </w:rPr>
            </w:r>
          </w:p>
        </w:tc>
      </w:tr>
      <w:tr>
        <w:trPr>
          <w:cantSplit/>
        </w:trPr>
        <w:tc>
          <w:tcPr>
            <w:tcW w:type="dxa" w:w="3175"/>
          </w:tcPr>
          <w:p>
            <w:pPr>
              <w:spacing w:after="60" w:before="60" w:line="252" w:lineRule="auto"/>
            </w:pPr>
            <w:r>
              <w:rPr>
                <w:rFonts w:ascii="Aptos" w:hAnsi="Aptos"/>
                <w:color w:val="303236"/>
                <w:sz w:val="18"/>
              </w:rPr>
              <w:t>Reimbursement and payment</w:t>
            </w:r>
          </w:p>
        </w:tc>
        <w:tc>
          <w:tcPr>
            <w:tcW w:type="dxa" w:w="6349"/>
          </w:tcPr>
          <w:p>
            <w:pPr>
              <w:spacing w:after="60" w:before="60" w:line="252" w:lineRule="auto"/>
            </w:pPr>
            <w:r>
              <w:rPr>
                <w:rFonts w:ascii="Aptos" w:hAnsi="Aptos"/>
                <w:color w:val="303236"/>
                <w:sz w:val="18"/>
              </w:rPr>
              <w:t>Identify coverage, coding, tariff, payer, claim, denial, and incentive implications.</w:t>
            </w:r>
          </w:p>
        </w:tc>
        <w:tc>
          <w:tcPr>
            <w:tcW w:type="dxa" w:w="4444"/>
          </w:tcPr>
          <w:p>
            <w:pPr>
              <w:spacing w:after="60" w:before="60" w:line="252" w:lineRule="auto"/>
            </w:pPr>
            <w:r>
              <w:rPr>
                <w:rFonts w:ascii="Aptos" w:hAnsi="Aptos"/>
                <w:color w:val="303236"/>
                <w:sz w:val="18"/>
              </w:rPr>
            </w:r>
          </w:p>
        </w:tc>
      </w:tr>
      <w:tr>
        <w:trPr>
          <w:cantSplit/>
        </w:trPr>
        <w:tc>
          <w:tcPr>
            <w:tcW w:type="dxa" w:w="3175"/>
            <w:shd w:fill="F5F0E7" w:val="clear"/>
          </w:tcPr>
          <w:p>
            <w:pPr>
              <w:spacing w:after="60" w:before="60" w:line="252" w:lineRule="auto"/>
            </w:pPr>
            <w:r>
              <w:rPr>
                <w:rFonts w:ascii="Aptos" w:hAnsi="Aptos"/>
                <w:color w:val="303236"/>
                <w:sz w:val="18"/>
              </w:rPr>
              <w:t>Local adoption conditions</w:t>
            </w:r>
          </w:p>
        </w:tc>
        <w:tc>
          <w:tcPr>
            <w:tcW w:type="dxa" w:w="6349"/>
            <w:shd w:fill="F5F0E7" w:val="clear"/>
          </w:tcPr>
          <w:p>
            <w:pPr>
              <w:spacing w:after="60" w:before="60" w:line="252" w:lineRule="auto"/>
            </w:pPr>
            <w:r>
              <w:rPr>
                <w:rFonts w:ascii="Aptos" w:hAnsi="Aptos"/>
                <w:color w:val="303236"/>
                <w:sz w:val="18"/>
              </w:rPr>
              <w:t>Record readiness, procurement, workforce, quality, accreditation, governance, and monitoring prerequisites.</w:t>
            </w:r>
          </w:p>
        </w:tc>
        <w:tc>
          <w:tcPr>
            <w:tcW w:type="dxa" w:w="4444"/>
            <w:shd w:fill="F5F0E7" w:val="clear"/>
          </w:tcPr>
          <w:p>
            <w:pPr>
              <w:spacing w:after="60" w:before="60" w:line="252" w:lineRule="auto"/>
            </w:pPr>
            <w:r>
              <w:rPr>
                <w:rFonts w:ascii="Aptos" w:hAnsi="Aptos"/>
                <w:color w:val="303236"/>
                <w:sz w:val="18"/>
              </w:rPr>
            </w:r>
          </w:p>
        </w:tc>
      </w:tr>
      <w:tr>
        <w:trPr>
          <w:cantSplit/>
        </w:trPr>
        <w:tc>
          <w:tcPr>
            <w:tcW w:type="dxa" w:w="3175"/>
          </w:tcPr>
          <w:p>
            <w:pPr>
              <w:spacing w:after="60" w:before="60" w:line="252" w:lineRule="auto"/>
            </w:pPr>
            <w:r>
              <w:rPr>
                <w:rFonts w:ascii="Aptos" w:hAnsi="Aptos"/>
                <w:color w:val="303236"/>
                <w:sz w:val="18"/>
              </w:rPr>
              <w:t>Uncertainty and additional evidence</w:t>
            </w:r>
          </w:p>
        </w:tc>
        <w:tc>
          <w:tcPr>
            <w:tcW w:type="dxa" w:w="6349"/>
          </w:tcPr>
          <w:p>
            <w:pPr>
              <w:spacing w:after="60" w:before="60" w:line="252" w:lineRule="auto"/>
            </w:pPr>
            <w:r>
              <w:rPr>
                <w:rFonts w:ascii="Aptos" w:hAnsi="Aptos"/>
                <w:color w:val="303236"/>
                <w:sz w:val="18"/>
              </w:rPr>
              <w:t>Identify parameters that may change the decision and the value, cost, and timing of further research.</w:t>
            </w:r>
          </w:p>
        </w:tc>
        <w:tc>
          <w:tcPr>
            <w:tcW w:type="dxa" w:w="4444"/>
          </w:tcPr>
          <w:p>
            <w:pPr>
              <w:spacing w:after="60" w:before="60" w:line="252" w:lineRule="auto"/>
            </w:pPr>
            <w:r>
              <w:rPr>
                <w:rFonts w:ascii="Aptos" w:hAnsi="Aptos"/>
                <w:color w:val="303236"/>
                <w:sz w:val="18"/>
              </w:rPr>
            </w:r>
          </w:p>
        </w:tc>
      </w:tr>
      <w:tr>
        <w:trPr>
          <w:cantSplit/>
        </w:trPr>
        <w:tc>
          <w:tcPr>
            <w:tcW w:type="dxa" w:w="3175"/>
            <w:shd w:fill="F5F0E7" w:val="clear"/>
          </w:tcPr>
          <w:p>
            <w:pPr>
              <w:spacing w:after="60" w:before="60" w:line="252" w:lineRule="auto"/>
            </w:pPr>
            <w:r>
              <w:rPr>
                <w:rFonts w:ascii="Aptos" w:hAnsi="Aptos"/>
                <w:color w:val="303236"/>
                <w:sz w:val="18"/>
              </w:rPr>
              <w:t>Recommendation</w:t>
            </w:r>
          </w:p>
        </w:tc>
        <w:tc>
          <w:tcPr>
            <w:tcW w:type="dxa" w:w="6349"/>
            <w:shd w:fill="F5F0E7" w:val="clear"/>
          </w:tcPr>
          <w:p>
            <w:pPr>
              <w:spacing w:after="60" w:before="60" w:line="252" w:lineRule="auto"/>
            </w:pPr>
            <w:r>
              <w:rPr>
                <w:rFonts w:ascii="Aptos" w:hAnsi="Aptos"/>
                <w:color w:val="303236"/>
                <w:sz w:val="18"/>
              </w:rPr>
              <w:t>Record adopt, pilot, conditional use, restrict, defer, redesign, reject, or retire, together with conditions and review date.</w:t>
            </w:r>
          </w:p>
        </w:tc>
        <w:tc>
          <w:tcPr>
            <w:tcW w:type="dxa" w:w="4444"/>
            <w:shd w:fill="F5F0E7" w:val="clear"/>
          </w:tcPr>
          <w:p>
            <w:pPr>
              <w:spacing w:after="60" w:before="60" w:line="252" w:lineRule="auto"/>
            </w:pPr>
            <w:r>
              <w:rPr>
                <w:rFonts w:ascii="Aptos" w:hAnsi="Aptos"/>
                <w:color w:val="303236"/>
                <w:sz w:val="18"/>
              </w:rPr>
            </w:r>
          </w:p>
        </w:tc>
      </w:tr>
    </w:tbl>
    <w:p>
      <w:r>
        <w:rPr>
          <w:rFonts w:ascii="Aptos" w:hAnsi="Aptos"/>
          <w:sz w:val="16"/>
        </w:rPr>
        <w:t>Local record control: owner __________________  evidence cut-off __________  next review __________  local version __________</w:t>
      </w:r>
    </w:p>
    <w:p>
      <w:pPr>
        <w:pageBreakBefore/>
        <w:spacing w:after="80"/>
      </w:pPr>
      <w:r>
        <w:rPr>
          <w:rFonts w:ascii="Aptos" w:hAnsi="Aptos"/>
          <w:color w:val="877567"/>
          <w:sz w:val="18"/>
        </w:rPr>
        <w:t>Part III — Economic Evaluation, Decision Modelling, and Procurement</w:t>
      </w:r>
    </w:p>
    <w:p>
      <w:pPr>
        <w:pStyle w:val="Heading1"/>
      </w:pPr>
      <w:r>
        <w:t>AIHE-B05 — Model Selection, Uncertainty, and Reproducibility</w:t>
      </w:r>
    </w:p>
    <w:p>
      <w:pPr>
        <w:spacing w:after="80"/>
      </w:pPr>
      <w:r>
        <w:rPr>
          <w:color w:val="877567"/>
          <w:sz w:val="20"/>
        </w:rPr>
        <w:t>Chapter 8: Decision Modelling, Simulation, and the Value of Information</w:t>
      </w:r>
    </w:p>
    <w:p>
      <w:r>
        <w:t>Select a decision model from the problem structure and document evidence, verification, uncertainty, and reproducibility.</w:t>
      </w:r>
    </w:p>
    <w:p>
      <w:r>
        <w:rPr>
          <w:rFonts w:ascii="Aptos" w:hAnsi="Aptos"/>
          <w:sz w:val="17"/>
        </w:rPr>
        <w:t>Resource: AIHE-B05  |  V1.0  |  Aligned chapters: 8, 11</w:t>
      </w:r>
    </w:p>
    <w:p>
      <w:r>
        <w:t>Complete the record with the people who own the evidence, workflow, budget, safeguards, and follow-up action. Distinguish documented evidence from assumptions and planned evidence collection. Record the exact intervention and version, accountable owner, decision conditions, evidence cut-off, review date, and trigger events.</w:t>
      </w:r>
    </w:p>
    <w:tbl>
      <w:tblPr>
        <w:tblW w:type="auto" w:w="0"/>
        <w:tblLayout w:type="fixed"/>
        <w:tblLook w:firstColumn="1" w:firstRow="1" w:lastColumn="0" w:lastRow="0" w:noHBand="0" w:noVBand="1" w:val="04A0"/>
        <w:tblBorders>
          <w:top w:val="single" w:sz="4" w:color="D9D0C2"/>
          <w:left w:val="single" w:sz="4" w:color="D9D0C2"/>
          <w:bottom w:val="single" w:sz="4" w:color="D9D0C2"/>
          <w:right w:val="single" w:sz="4" w:color="D9D0C2"/>
          <w:insideH w:val="single" w:sz="4" w:color="D9D0C2"/>
          <w:insideV w:val="single" w:sz="4" w:color="D9D0C2"/>
        </w:tblBorders>
        <w:tblCellMar>
          <w:top w:w="80" w:type="dxa"/>
          <w:left w:w="80" w:type="dxa"/>
          <w:bottom w:w="80" w:type="dxa"/>
          <w:right w:w="80" w:type="dxa"/>
        </w:tblCellMar>
      </w:tblPr>
      <w:tblGrid>
        <w:gridCol w:w="2818"/>
        <w:gridCol w:w="4411"/>
        <w:gridCol w:w="2451"/>
        <w:gridCol w:w="4288"/>
      </w:tblGrid>
      <w:tr>
        <w:trPr>
          <w:tblHeader/>
          <w:cantSplit/>
        </w:trPr>
        <w:tc>
          <w:tcPr>
            <w:tcW w:type="dxa" w:w="2818"/>
            <w:shd w:fill="6B2230" w:val="clear"/>
          </w:tcPr>
          <w:p>
            <w:pPr>
              <w:spacing w:after="60" w:before="60"/>
            </w:pPr>
            <w:r>
              <w:rPr>
                <w:rFonts w:ascii="Aptos" w:hAnsi="Aptos"/>
                <w:b/>
                <w:color w:val="FFFFFF"/>
                <w:sz w:val="18"/>
              </w:rPr>
              <w:t>Decision or uncertainty feature</w:t>
            </w:r>
          </w:p>
        </w:tc>
        <w:tc>
          <w:tcPr>
            <w:tcW w:type="dxa" w:w="4411"/>
            <w:shd w:fill="6B2230" w:val="clear"/>
          </w:tcPr>
          <w:p>
            <w:pPr>
              <w:spacing w:after="60" w:before="60"/>
            </w:pPr>
            <w:r>
              <w:rPr>
                <w:rFonts w:ascii="Aptos" w:hAnsi="Aptos"/>
                <w:b/>
                <w:color w:val="FFFFFF"/>
                <w:sz w:val="18"/>
              </w:rPr>
              <w:t>Appropriate analytical response</w:t>
            </w:r>
          </w:p>
        </w:tc>
        <w:tc>
          <w:tcPr>
            <w:tcW w:type="dxa" w:w="2451"/>
            <w:shd w:fill="6B2230" w:val="clear"/>
          </w:tcPr>
          <w:p>
            <w:pPr>
              <w:spacing w:after="60" w:before="60"/>
            </w:pPr>
            <w:r>
              <w:rPr>
                <w:rFonts w:ascii="Aptos" w:hAnsi="Aptos"/>
                <w:b/>
                <w:color w:val="FFFFFF"/>
                <w:sz w:val="18"/>
              </w:rPr>
              <w:t>Critical evidence and assumptions</w:t>
            </w:r>
          </w:p>
        </w:tc>
        <w:tc>
          <w:tcPr>
            <w:tcW w:type="dxa" w:w="4288"/>
            <w:shd w:fill="6B2230" w:val="clear"/>
          </w:tcPr>
          <w:p>
            <w:pPr>
              <w:spacing w:after="60" w:before="60"/>
            </w:pPr>
            <w:r>
              <w:rPr>
                <w:rFonts w:ascii="Aptos" w:hAnsi="Aptos"/>
                <w:b/>
                <w:color w:val="FFFFFF"/>
                <w:sz w:val="18"/>
              </w:rPr>
              <w:t>Verification, validation, research-value, and reproducibility record</w:t>
            </w:r>
          </w:p>
        </w:tc>
      </w:tr>
      <w:tr>
        <w:trPr>
          <w:cantSplit/>
        </w:trPr>
        <w:tc>
          <w:tcPr>
            <w:tcW w:type="dxa" w:w="2818"/>
            <w:shd w:fill="F5F0E7" w:val="clear"/>
          </w:tcPr>
          <w:p>
            <w:pPr>
              <w:spacing w:after="60" w:before="60" w:line="252" w:lineRule="auto"/>
            </w:pPr>
            <w:r>
              <w:rPr>
                <w:rFonts w:ascii="Aptos" w:hAnsi="Aptos"/>
                <w:color w:val="303236"/>
                <w:sz w:val="18"/>
              </w:rPr>
              <w:t>Short, non-recurring pathway</w:t>
            </w:r>
          </w:p>
        </w:tc>
        <w:tc>
          <w:tcPr>
            <w:tcW w:type="dxa" w:w="4411"/>
            <w:shd w:fill="F5F0E7" w:val="clear"/>
          </w:tcPr>
          <w:p>
            <w:pPr>
              <w:spacing w:after="60" w:before="60" w:line="252" w:lineRule="auto"/>
            </w:pPr>
            <w:r>
              <w:rPr>
                <w:rFonts w:ascii="Aptos" w:hAnsi="Aptos"/>
                <w:color w:val="303236"/>
                <w:sz w:val="18"/>
              </w:rPr>
              <w:t>Decision tree</w:t>
            </w:r>
          </w:p>
        </w:tc>
        <w:tc>
          <w:tcPr>
            <w:tcW w:type="dxa" w:w="2451"/>
            <w:shd w:fill="F5F0E7" w:val="clear"/>
          </w:tcPr>
          <w:p>
            <w:pPr>
              <w:spacing w:after="60" w:before="60" w:line="252" w:lineRule="auto"/>
            </w:pPr>
            <w:r>
              <w:rPr>
                <w:rFonts w:ascii="Aptos" w:hAnsi="Aptos"/>
                <w:color w:val="303236"/>
                <w:sz w:val="18"/>
              </w:rPr>
              <w:t>Branches, probabilities, costs, outcomes, thresholds, and downstream action</w:t>
            </w:r>
          </w:p>
        </w:tc>
        <w:tc>
          <w:tcPr>
            <w:tcW w:type="dxa" w:w="4288"/>
            <w:shd w:fill="F5F0E7" w:val="clear"/>
          </w:tcPr>
          <w:p>
            <w:pPr>
              <w:spacing w:after="60" w:before="60" w:line="252" w:lineRule="auto"/>
            </w:pPr>
            <w:r>
              <w:rPr>
                <w:rFonts w:ascii="Aptos" w:hAnsi="Aptos"/>
                <w:color w:val="303236"/>
                <w:sz w:val="18"/>
              </w:rPr>
              <w:t>Logic review, extreme-value tests, deterministic and probabilistic analysis</w:t>
            </w:r>
          </w:p>
        </w:tc>
      </w:tr>
      <w:tr>
        <w:trPr>
          <w:cantSplit/>
        </w:trPr>
        <w:tc>
          <w:tcPr>
            <w:tcW w:type="dxa" w:w="2818"/>
          </w:tcPr>
          <w:p>
            <w:pPr>
              <w:spacing w:after="60" w:before="60" w:line="252" w:lineRule="auto"/>
            </w:pPr>
            <w:r>
              <w:rPr>
                <w:rFonts w:ascii="Aptos" w:hAnsi="Aptos"/>
                <w:color w:val="303236"/>
                <w:sz w:val="18"/>
              </w:rPr>
              <w:t>Recurring health states</w:t>
            </w:r>
          </w:p>
        </w:tc>
        <w:tc>
          <w:tcPr>
            <w:tcW w:type="dxa" w:w="4411"/>
          </w:tcPr>
          <w:p>
            <w:pPr>
              <w:spacing w:after="60" w:before="60" w:line="252" w:lineRule="auto"/>
            </w:pPr>
            <w:r>
              <w:rPr>
                <w:rFonts w:ascii="Aptos" w:hAnsi="Aptos"/>
                <w:color w:val="303236"/>
                <w:sz w:val="18"/>
              </w:rPr>
              <w:t>Cohort state-transition model</w:t>
            </w:r>
          </w:p>
        </w:tc>
        <w:tc>
          <w:tcPr>
            <w:tcW w:type="dxa" w:w="2451"/>
          </w:tcPr>
          <w:p>
            <w:pPr>
              <w:spacing w:after="60" w:before="60" w:line="252" w:lineRule="auto"/>
            </w:pPr>
            <w:r>
              <w:rPr>
                <w:rFonts w:ascii="Aptos" w:hAnsi="Aptos"/>
                <w:color w:val="303236"/>
                <w:sz w:val="18"/>
              </w:rPr>
              <w:t>Transitions, time dependence, utilities, costs, competing events, and intervention effects</w:t>
            </w:r>
          </w:p>
        </w:tc>
        <w:tc>
          <w:tcPr>
            <w:tcW w:type="dxa" w:w="4288"/>
          </w:tcPr>
          <w:p>
            <w:pPr>
              <w:spacing w:after="60" w:before="60" w:line="252" w:lineRule="auto"/>
            </w:pPr>
            <w:r>
              <w:rPr>
                <w:rFonts w:ascii="Aptos" w:hAnsi="Aptos"/>
                <w:color w:val="303236"/>
                <w:sz w:val="18"/>
              </w:rPr>
              <w:t>Trace validation, cycle and horizon tests, calibration, and structural alternatives</w:t>
            </w:r>
          </w:p>
        </w:tc>
      </w:tr>
      <w:tr>
        <w:trPr>
          <w:cantSplit/>
        </w:trPr>
        <w:tc>
          <w:tcPr>
            <w:tcW w:type="dxa" w:w="2818"/>
            <w:shd w:fill="F5F0E7" w:val="clear"/>
          </w:tcPr>
          <w:p>
            <w:pPr>
              <w:spacing w:after="60" w:before="60" w:line="252" w:lineRule="auto"/>
            </w:pPr>
            <w:r>
              <w:rPr>
                <w:rFonts w:ascii="Aptos" w:hAnsi="Aptos"/>
                <w:color w:val="303236"/>
                <w:sz w:val="18"/>
              </w:rPr>
              <w:t>Individual heterogeneity and history</w:t>
            </w:r>
          </w:p>
        </w:tc>
        <w:tc>
          <w:tcPr>
            <w:tcW w:type="dxa" w:w="4411"/>
            <w:shd w:fill="F5F0E7" w:val="clear"/>
          </w:tcPr>
          <w:p>
            <w:pPr>
              <w:spacing w:after="60" w:before="60" w:line="252" w:lineRule="auto"/>
            </w:pPr>
            <w:r>
              <w:rPr>
                <w:rFonts w:ascii="Aptos" w:hAnsi="Aptos"/>
                <w:color w:val="303236"/>
                <w:sz w:val="18"/>
              </w:rPr>
              <w:t>Microsimulation</w:t>
            </w:r>
          </w:p>
        </w:tc>
        <w:tc>
          <w:tcPr>
            <w:tcW w:type="dxa" w:w="2451"/>
            <w:shd w:fill="F5F0E7" w:val="clear"/>
          </w:tcPr>
          <w:p>
            <w:pPr>
              <w:spacing w:after="60" w:before="60" w:line="252" w:lineRule="auto"/>
            </w:pPr>
            <w:r>
              <w:rPr>
                <w:rFonts w:ascii="Aptos" w:hAnsi="Aptos"/>
                <w:color w:val="303236"/>
                <w:sz w:val="18"/>
              </w:rPr>
              <w:t>Patient-level distributions, correlations, histories, subgroup effects, and treatment rules</w:t>
            </w:r>
          </w:p>
        </w:tc>
        <w:tc>
          <w:tcPr>
            <w:tcW w:type="dxa" w:w="4288"/>
            <w:shd w:fill="F5F0E7" w:val="clear"/>
          </w:tcPr>
          <w:p>
            <w:pPr>
              <w:spacing w:after="60" w:before="60" w:line="252" w:lineRule="auto"/>
            </w:pPr>
            <w:r>
              <w:rPr>
                <w:rFonts w:ascii="Aptos" w:hAnsi="Aptos"/>
                <w:color w:val="303236"/>
                <w:sz w:val="18"/>
              </w:rPr>
              <w:t>Seeds, replications, convergence, internal and external validation, and subgroup checks</w:t>
            </w:r>
          </w:p>
        </w:tc>
      </w:tr>
      <w:tr>
        <w:trPr>
          <w:cantSplit/>
        </w:trPr>
        <w:tc>
          <w:tcPr>
            <w:tcW w:type="dxa" w:w="2818"/>
          </w:tcPr>
          <w:p>
            <w:pPr>
              <w:spacing w:after="60" w:before="60" w:line="252" w:lineRule="auto"/>
            </w:pPr>
            <w:r>
              <w:rPr>
                <w:rFonts w:ascii="Aptos" w:hAnsi="Aptos"/>
                <w:color w:val="303236"/>
                <w:sz w:val="18"/>
              </w:rPr>
              <w:t>Queues, capacity, and event timing</w:t>
            </w:r>
          </w:p>
        </w:tc>
        <w:tc>
          <w:tcPr>
            <w:tcW w:type="dxa" w:w="4411"/>
          </w:tcPr>
          <w:p>
            <w:pPr>
              <w:spacing w:after="60" w:before="60" w:line="252" w:lineRule="auto"/>
            </w:pPr>
            <w:r>
              <w:rPr>
                <w:rFonts w:ascii="Aptos" w:hAnsi="Aptos"/>
                <w:color w:val="303236"/>
                <w:sz w:val="18"/>
              </w:rPr>
              <w:t>Discrete-event simulation</w:t>
            </w:r>
          </w:p>
        </w:tc>
        <w:tc>
          <w:tcPr>
            <w:tcW w:type="dxa" w:w="2451"/>
          </w:tcPr>
          <w:p>
            <w:pPr>
              <w:spacing w:after="60" w:before="60" w:line="252" w:lineRule="auto"/>
            </w:pPr>
            <w:r>
              <w:rPr>
                <w:rFonts w:ascii="Aptos" w:hAnsi="Aptos"/>
                <w:color w:val="303236"/>
                <w:sz w:val="18"/>
              </w:rPr>
              <w:t>Arrivals, service times, routing, capacity, prioritization, downtime, and response constraints</w:t>
            </w:r>
          </w:p>
        </w:tc>
        <w:tc>
          <w:tcPr>
            <w:tcW w:type="dxa" w:w="4288"/>
          </w:tcPr>
          <w:p>
            <w:pPr>
              <w:spacing w:after="60" w:before="60" w:line="252" w:lineRule="auto"/>
            </w:pPr>
            <w:r>
              <w:rPr>
                <w:rFonts w:ascii="Aptos" w:hAnsi="Aptos"/>
                <w:color w:val="303236"/>
                <w:sz w:val="18"/>
              </w:rPr>
              <w:t>Event-trace review, warm-up, run length, replications, and stress tests</w:t>
            </w:r>
          </w:p>
        </w:tc>
      </w:tr>
      <w:tr>
        <w:trPr>
          <w:cantSplit/>
        </w:trPr>
        <w:tc>
          <w:tcPr>
            <w:tcW w:type="dxa" w:w="2818"/>
            <w:shd w:fill="F5F0E7" w:val="clear"/>
          </w:tcPr>
          <w:p>
            <w:pPr>
              <w:spacing w:after="60" w:before="60" w:line="252" w:lineRule="auto"/>
            </w:pPr>
            <w:r>
              <w:rPr>
                <w:rFonts w:ascii="Aptos" w:hAnsi="Aptos"/>
                <w:color w:val="303236"/>
                <w:sz w:val="18"/>
              </w:rPr>
              <w:t>Interacting actors, behaviours, or feedback</w:t>
            </w:r>
          </w:p>
        </w:tc>
        <w:tc>
          <w:tcPr>
            <w:tcW w:type="dxa" w:w="4411"/>
            <w:shd w:fill="F5F0E7" w:val="clear"/>
          </w:tcPr>
          <w:p>
            <w:pPr>
              <w:spacing w:after="60" w:before="60" w:line="252" w:lineRule="auto"/>
            </w:pPr>
            <w:r>
              <w:rPr>
                <w:rFonts w:ascii="Aptos" w:hAnsi="Aptos"/>
                <w:color w:val="303236"/>
                <w:sz w:val="18"/>
              </w:rPr>
              <w:t>Agent-based, system-dynamics, or hybrid model</w:t>
            </w:r>
          </w:p>
        </w:tc>
        <w:tc>
          <w:tcPr>
            <w:tcW w:type="dxa" w:w="2451"/>
            <w:shd w:fill="F5F0E7" w:val="clear"/>
          </w:tcPr>
          <w:p>
            <w:pPr>
              <w:spacing w:after="60" w:before="60" w:line="252" w:lineRule="auto"/>
            </w:pPr>
            <w:r>
              <w:rPr>
                <w:rFonts w:ascii="Aptos" w:hAnsi="Aptos"/>
                <w:color w:val="303236"/>
                <w:sz w:val="18"/>
              </w:rPr>
              <w:t>Behaviour rules, networks, stocks, flows, delays, adaptation, and policy feedback</w:t>
            </w:r>
          </w:p>
        </w:tc>
        <w:tc>
          <w:tcPr>
            <w:tcW w:type="dxa" w:w="4288"/>
            <w:shd w:fill="F5F0E7" w:val="clear"/>
          </w:tcPr>
          <w:p>
            <w:pPr>
              <w:spacing w:after="60" w:before="60" w:line="252" w:lineRule="auto"/>
            </w:pPr>
            <w:r>
              <w:rPr>
                <w:rFonts w:ascii="Aptos" w:hAnsi="Aptos"/>
                <w:color w:val="303236"/>
                <w:sz w:val="18"/>
              </w:rPr>
              <w:t>Pattern validation, rule sensitivity, alternative structures, and face validity</w:t>
            </w:r>
          </w:p>
        </w:tc>
      </w:tr>
      <w:tr>
        <w:trPr>
          <w:cantSplit/>
        </w:trPr>
        <w:tc>
          <w:tcPr>
            <w:tcW w:type="dxa" w:w="2818"/>
          </w:tcPr>
          <w:p>
            <w:pPr>
              <w:spacing w:after="60" w:before="60" w:line="252" w:lineRule="auto"/>
            </w:pPr>
            <w:r>
              <w:rPr>
                <w:rFonts w:ascii="Aptos" w:hAnsi="Aptos"/>
                <w:color w:val="303236"/>
                <w:sz w:val="18"/>
              </w:rPr>
              <w:t>AI-specific characteristics and uncertainty</w:t>
            </w:r>
          </w:p>
        </w:tc>
        <w:tc>
          <w:tcPr>
            <w:tcW w:type="dxa" w:w="4411"/>
          </w:tcPr>
          <w:p>
            <w:pPr>
              <w:spacing w:after="60" w:before="60" w:line="252" w:lineRule="auto"/>
            </w:pPr>
            <w:r>
              <w:rPr>
                <w:rFonts w:ascii="Aptos" w:hAnsi="Aptos"/>
                <w:color w:val="303236"/>
                <w:sz w:val="18"/>
              </w:rPr>
              <w:t>Explicit model features, scenarios, and value-of-information analysis</w:t>
            </w:r>
          </w:p>
        </w:tc>
        <w:tc>
          <w:tcPr>
            <w:tcW w:type="dxa" w:w="2451"/>
          </w:tcPr>
          <w:p>
            <w:pPr>
              <w:spacing w:after="60" w:before="60" w:line="252" w:lineRule="auto"/>
            </w:pPr>
            <w:r>
              <w:rPr>
                <w:rFonts w:ascii="Aptos" w:hAnsi="Aptos"/>
                <w:color w:val="303236"/>
                <w:sz w:val="18"/>
              </w:rPr>
              <w:t>Thresholds, calibration, drift, abstention, review burden, updating, version change, implementation, and evidence cost</w:t>
            </w:r>
          </w:p>
        </w:tc>
        <w:tc>
          <w:tcPr>
            <w:tcW w:type="dxa" w:w="4288"/>
          </w:tcPr>
          <w:p>
            <w:pPr>
              <w:spacing w:after="60" w:before="60" w:line="252" w:lineRule="auto"/>
            </w:pPr>
            <w:r>
              <w:rPr>
                <w:rFonts w:ascii="Aptos" w:hAnsi="Aptos"/>
                <w:color w:val="303236"/>
                <w:sz w:val="18"/>
              </w:rPr>
              <w:t>EVPI, EVPPI, EVSI or ENBS where justified; version-matched evidence; test suite; provenance; decision traceability</w:t>
            </w:r>
          </w:p>
        </w:tc>
      </w:tr>
    </w:tbl>
    <w:p>
      <w:r>
        <w:rPr>
          <w:rFonts w:ascii="Aptos" w:hAnsi="Aptos"/>
          <w:sz w:val="16"/>
        </w:rPr>
        <w:t>Local record control: owner __________________  evidence cut-off __________  next review __________  local version __________</w:t>
      </w:r>
    </w:p>
    <w:p>
      <w:pPr>
        <w:pageBreakBefore/>
        <w:spacing w:after="80"/>
      </w:pPr>
      <w:r>
        <w:rPr>
          <w:rFonts w:ascii="Aptos" w:hAnsi="Aptos"/>
          <w:color w:val="877567"/>
          <w:sz w:val="18"/>
        </w:rPr>
        <w:t>Part III — Economic Evaluation, Decision Modelling, and Procurement</w:t>
      </w:r>
    </w:p>
    <w:p>
      <w:pPr>
        <w:pStyle w:val="Heading1"/>
      </w:pPr>
      <w:r>
        <w:t>AIHE-D01 — Vendor Evidence and Contract Requirements</w:t>
      </w:r>
    </w:p>
    <w:p>
      <w:pPr>
        <w:spacing w:after="80"/>
      </w:pPr>
      <w:r>
        <w:rPr>
          <w:color w:val="877567"/>
          <w:sz w:val="20"/>
        </w:rPr>
        <w:t>Chapter 9: Problem-First Procurement and Vendor Governance</w:t>
      </w:r>
    </w:p>
    <w:p>
      <w:r>
        <w:t>Translate evidence, interoperability, data, security, monitoring, update, service, remedy, portability, and exit requirements into contract terms.</w:t>
      </w:r>
    </w:p>
    <w:p>
      <w:r>
        <w:rPr>
          <w:rFonts w:ascii="Aptos" w:hAnsi="Aptos"/>
          <w:sz w:val="17"/>
        </w:rPr>
        <w:t>Resource: AIHE-D01  |  V1.0  |  Aligned chapters: 6, 9, 10, 12</w:t>
      </w:r>
    </w:p>
    <w:p>
      <w:r>
        <w:t>Apply mandatory eligibility requirements before comparative scoring. Include continuing supplier disclosure, maintenance and support end dates, audit rights, material-change control, portability, continuity, and a credible exit route (book §§9.3–9.7).</w:t>
      </w:r>
    </w:p>
    <w:tbl>
      <w:tblPr>
        <w:tblW w:type="auto" w:w="0"/>
        <w:tblLayout w:type="fixed"/>
        <w:tblLook w:firstColumn="1" w:firstRow="1" w:lastColumn="0" w:lastRow="0" w:noHBand="0" w:noVBand="1" w:val="04A0"/>
        <w:tblBorders>
          <w:top w:val="single" w:sz="4" w:color="D9D0C2"/>
          <w:left w:val="single" w:sz="4" w:color="D9D0C2"/>
          <w:bottom w:val="single" w:sz="4" w:color="D9D0C2"/>
          <w:right w:val="single" w:sz="4" w:color="D9D0C2"/>
          <w:insideH w:val="single" w:sz="4" w:color="D9D0C2"/>
          <w:insideV w:val="single" w:sz="4" w:color="D9D0C2"/>
        </w:tblBorders>
        <w:tblCellMar>
          <w:top w:w="80" w:type="dxa"/>
          <w:left w:w="80" w:type="dxa"/>
          <w:bottom w:w="80" w:type="dxa"/>
          <w:right w:w="80" w:type="dxa"/>
        </w:tblCellMar>
      </w:tblPr>
      <w:tblGrid>
        <w:gridCol w:w="2328"/>
        <w:gridCol w:w="2328"/>
        <w:gridCol w:w="2328"/>
        <w:gridCol w:w="2328"/>
        <w:gridCol w:w="2328"/>
        <w:gridCol w:w="2328"/>
      </w:tblGrid>
      <w:tr>
        <w:trPr>
          <w:tblHeader/>
          <w:cantSplit/>
        </w:trPr>
        <w:tc>
          <w:tcPr>
            <w:tcW w:type="dxa" w:w="2328"/>
            <w:shd w:fill="6B2230" w:val="clear"/>
          </w:tcPr>
          <w:p>
            <w:pPr>
              <w:spacing w:after="60" w:before="60"/>
            </w:pPr>
            <w:r>
              <w:rPr>
                <w:rFonts w:ascii="Aptos" w:hAnsi="Aptos"/>
                <w:b/>
                <w:color w:val="FFFFFF"/>
                <w:sz w:val="18"/>
              </w:rPr>
              <w:t>Requirement</w:t>
            </w:r>
          </w:p>
        </w:tc>
        <w:tc>
          <w:tcPr>
            <w:tcW w:type="dxa" w:w="2328"/>
            <w:shd w:fill="6B2230" w:val="clear"/>
          </w:tcPr>
          <w:p>
            <w:pPr>
              <w:spacing w:after="60" w:before="60"/>
            </w:pPr>
            <w:r>
              <w:rPr>
                <w:rFonts w:ascii="Aptos" w:hAnsi="Aptos"/>
                <w:b/>
                <w:color w:val="FFFFFF"/>
                <w:sz w:val="18"/>
              </w:rPr>
              <w:t>Evidence or clause requested</w:t>
            </w:r>
          </w:p>
        </w:tc>
        <w:tc>
          <w:tcPr>
            <w:tcW w:type="dxa" w:w="2328"/>
            <w:shd w:fill="6B2230" w:val="clear"/>
          </w:tcPr>
          <w:p>
            <w:pPr>
              <w:spacing w:after="60" w:before="60"/>
            </w:pPr>
            <w:r>
              <w:rPr>
                <w:rFonts w:ascii="Aptos" w:hAnsi="Aptos"/>
                <w:b/>
                <w:color w:val="FFFFFF"/>
                <w:sz w:val="18"/>
              </w:rPr>
              <w:t>Independent and local verification</w:t>
            </w:r>
          </w:p>
        </w:tc>
        <w:tc>
          <w:tcPr>
            <w:tcW w:type="dxa" w:w="2328"/>
            <w:shd w:fill="6B2230" w:val="clear"/>
          </w:tcPr>
          <w:p>
            <w:pPr>
              <w:spacing w:after="60" w:before="60"/>
            </w:pPr>
            <w:r>
              <w:rPr>
                <w:rFonts w:ascii="Aptos" w:hAnsi="Aptos"/>
                <w:b/>
                <w:color w:val="FFFFFF"/>
                <w:sz w:val="18"/>
              </w:rPr>
              <w:t>Risk if absent or incorrect</w:t>
            </w:r>
          </w:p>
        </w:tc>
        <w:tc>
          <w:tcPr>
            <w:tcW w:type="dxa" w:w="2328"/>
            <w:shd w:fill="6B2230" w:val="clear"/>
          </w:tcPr>
          <w:p>
            <w:pPr>
              <w:spacing w:after="60" w:before="60"/>
            </w:pPr>
            <w:r>
              <w:rPr>
                <w:rFonts w:ascii="Aptos" w:hAnsi="Aptos"/>
                <w:b/>
                <w:color w:val="FFFFFF"/>
                <w:sz w:val="18"/>
              </w:rPr>
              <w:t>Remedy and exit position</w:t>
            </w:r>
          </w:p>
        </w:tc>
        <w:tc>
          <w:tcPr>
            <w:tcW w:type="dxa" w:w="2328"/>
            <w:shd w:fill="6B2230" w:val="clear"/>
          </w:tcPr>
          <w:p>
            <w:pPr>
              <w:spacing w:after="60" w:before="60"/>
            </w:pPr>
            <w:r>
              <w:rPr>
                <w:rFonts w:ascii="Aptos" w:hAnsi="Aptos"/>
                <w:b/>
                <w:color w:val="FFFFFF"/>
                <w:sz w:val="18"/>
              </w:rPr>
              <w:t>Owner and status</w:t>
            </w:r>
          </w:p>
        </w:tc>
      </w:tr>
      <w:tr>
        <w:trPr>
          <w:cantSplit/>
        </w:trPr>
        <w:tc>
          <w:tcPr>
            <w:tcW w:type="dxa" w:w="2328"/>
            <w:shd w:fill="F5F0E7" w:val="clear"/>
          </w:tcPr>
          <w:p>
            <w:pPr>
              <w:spacing w:after="60" w:before="60" w:line="252" w:lineRule="auto"/>
            </w:pPr>
            <w:r>
              <w:rPr>
                <w:rFonts w:ascii="Aptos" w:hAnsi="Aptos"/>
                <w:color w:val="303236"/>
                <w:sz w:val="18"/>
              </w:rPr>
              <w:t>Exact supplier, product, model, configuration, intended and excluded use, population, and version</w:t>
            </w:r>
          </w:p>
        </w:tc>
        <w:tc>
          <w:tcPr>
            <w:tcW w:type="dxa" w:w="2328"/>
            <w:shd w:fill="F5F0E7" w:val="clear"/>
          </w:tcPr>
          <w:p>
            <w:pPr>
              <w:spacing w:after="60" w:before="60" w:line="252" w:lineRule="auto"/>
            </w:pPr>
            <w:r>
              <w:rPr>
                <w:rFonts w:ascii="Aptos" w:hAnsi="Aptos"/>
                <w:color w:val="303236"/>
                <w:sz w:val="18"/>
              </w:rPr>
            </w:r>
          </w:p>
        </w:tc>
        <w:tc>
          <w:tcPr>
            <w:tcW w:type="dxa" w:w="2328"/>
            <w:shd w:fill="F5F0E7" w:val="clear"/>
          </w:tcPr>
          <w:p>
            <w:pPr>
              <w:spacing w:after="60" w:before="60" w:line="252" w:lineRule="auto"/>
            </w:pPr>
            <w:r>
              <w:rPr>
                <w:rFonts w:ascii="Aptos" w:hAnsi="Aptos"/>
                <w:color w:val="303236"/>
                <w:sz w:val="18"/>
              </w:rPr>
            </w:r>
          </w:p>
        </w:tc>
        <w:tc>
          <w:tcPr>
            <w:tcW w:type="dxa" w:w="2328"/>
            <w:shd w:fill="F5F0E7" w:val="clear"/>
          </w:tcPr>
          <w:p>
            <w:pPr>
              <w:spacing w:after="60" w:before="60" w:line="252" w:lineRule="auto"/>
            </w:pPr>
            <w:r>
              <w:rPr>
                <w:rFonts w:ascii="Aptos" w:hAnsi="Aptos"/>
                <w:color w:val="303236"/>
                <w:sz w:val="18"/>
              </w:rPr>
            </w:r>
          </w:p>
        </w:tc>
        <w:tc>
          <w:tcPr>
            <w:tcW w:type="dxa" w:w="2328"/>
            <w:shd w:fill="F5F0E7" w:val="clear"/>
          </w:tcPr>
          <w:p>
            <w:pPr>
              <w:spacing w:after="60" w:before="60" w:line="252" w:lineRule="auto"/>
            </w:pPr>
            <w:r>
              <w:rPr>
                <w:rFonts w:ascii="Aptos" w:hAnsi="Aptos"/>
                <w:color w:val="303236"/>
                <w:sz w:val="18"/>
              </w:rPr>
            </w:r>
          </w:p>
        </w:tc>
        <w:tc>
          <w:tcPr>
            <w:tcW w:type="dxa" w:w="2328"/>
            <w:shd w:fill="F5F0E7" w:val="clear"/>
          </w:tcPr>
          <w:p>
            <w:pPr>
              <w:spacing w:after="60" w:before="60" w:line="252" w:lineRule="auto"/>
            </w:pPr>
            <w:r>
              <w:rPr>
                <w:rFonts w:ascii="Aptos" w:hAnsi="Aptos"/>
                <w:color w:val="303236"/>
                <w:sz w:val="18"/>
              </w:rPr>
            </w:r>
          </w:p>
        </w:tc>
      </w:tr>
      <w:tr>
        <w:trPr>
          <w:cantSplit/>
        </w:trPr>
        <w:tc>
          <w:tcPr>
            <w:tcW w:type="dxa" w:w="2328"/>
          </w:tcPr>
          <w:p>
            <w:pPr>
              <w:spacing w:after="60" w:before="60" w:line="252" w:lineRule="auto"/>
            </w:pPr>
            <w:r>
              <w:rPr>
                <w:rFonts w:ascii="Aptos" w:hAnsi="Aptos"/>
                <w:color w:val="303236"/>
                <w:sz w:val="18"/>
              </w:rPr>
              <w:t>Clinical, technical, human-factors, implementation, and economic evidence</w:t>
            </w:r>
          </w:p>
        </w:tc>
        <w:tc>
          <w:tcPr>
            <w:tcW w:type="dxa" w:w="2328"/>
          </w:tcPr>
          <w:p>
            <w:pPr>
              <w:spacing w:after="60" w:before="60" w:line="252" w:lineRule="auto"/>
            </w:pPr>
            <w:r>
              <w:rPr>
                <w:rFonts w:ascii="Aptos" w:hAnsi="Aptos"/>
                <w:color w:val="303236"/>
                <w:sz w:val="18"/>
              </w:rPr>
            </w:r>
          </w:p>
        </w:tc>
        <w:tc>
          <w:tcPr>
            <w:tcW w:type="dxa" w:w="2328"/>
          </w:tcPr>
          <w:p>
            <w:pPr>
              <w:spacing w:after="60" w:before="60" w:line="252" w:lineRule="auto"/>
            </w:pPr>
            <w:r>
              <w:rPr>
                <w:rFonts w:ascii="Aptos" w:hAnsi="Aptos"/>
                <w:color w:val="303236"/>
                <w:sz w:val="18"/>
              </w:rPr>
            </w:r>
          </w:p>
        </w:tc>
        <w:tc>
          <w:tcPr>
            <w:tcW w:type="dxa" w:w="2328"/>
          </w:tcPr>
          <w:p>
            <w:pPr>
              <w:spacing w:after="60" w:before="60" w:line="252" w:lineRule="auto"/>
            </w:pPr>
            <w:r>
              <w:rPr>
                <w:rFonts w:ascii="Aptos" w:hAnsi="Aptos"/>
                <w:color w:val="303236"/>
                <w:sz w:val="18"/>
              </w:rPr>
            </w:r>
          </w:p>
        </w:tc>
        <w:tc>
          <w:tcPr>
            <w:tcW w:type="dxa" w:w="2328"/>
          </w:tcPr>
          <w:p>
            <w:pPr>
              <w:spacing w:after="60" w:before="60" w:line="252" w:lineRule="auto"/>
            </w:pPr>
            <w:r>
              <w:rPr>
                <w:rFonts w:ascii="Aptos" w:hAnsi="Aptos"/>
                <w:color w:val="303236"/>
                <w:sz w:val="18"/>
              </w:rPr>
            </w:r>
          </w:p>
        </w:tc>
        <w:tc>
          <w:tcPr>
            <w:tcW w:type="dxa" w:w="2328"/>
          </w:tcPr>
          <w:p>
            <w:pPr>
              <w:spacing w:after="60" w:before="60" w:line="252" w:lineRule="auto"/>
            </w:pPr>
            <w:r>
              <w:rPr>
                <w:rFonts w:ascii="Aptos" w:hAnsi="Aptos"/>
                <w:color w:val="303236"/>
                <w:sz w:val="18"/>
              </w:rPr>
            </w:r>
          </w:p>
        </w:tc>
      </w:tr>
      <w:tr>
        <w:trPr>
          <w:cantSplit/>
        </w:trPr>
        <w:tc>
          <w:tcPr>
            <w:tcW w:type="dxa" w:w="2328"/>
            <w:shd w:fill="F5F0E7" w:val="clear"/>
          </w:tcPr>
          <w:p>
            <w:pPr>
              <w:spacing w:after="60" w:before="60" w:line="252" w:lineRule="auto"/>
            </w:pPr>
            <w:r>
              <w:rPr>
                <w:rFonts w:ascii="Aptos" w:hAnsi="Aptos"/>
                <w:color w:val="303236"/>
                <w:sz w:val="18"/>
              </w:rPr>
              <w:t>Upstream model, cloud, data, component, subprocessor, and infrastructure dependencies</w:t>
            </w:r>
          </w:p>
        </w:tc>
        <w:tc>
          <w:tcPr>
            <w:tcW w:type="dxa" w:w="2328"/>
            <w:shd w:fill="F5F0E7" w:val="clear"/>
          </w:tcPr>
          <w:p>
            <w:pPr>
              <w:spacing w:after="60" w:before="60" w:line="252" w:lineRule="auto"/>
            </w:pPr>
            <w:r>
              <w:rPr>
                <w:rFonts w:ascii="Aptos" w:hAnsi="Aptos"/>
                <w:color w:val="303236"/>
                <w:sz w:val="18"/>
              </w:rPr>
            </w:r>
          </w:p>
        </w:tc>
        <w:tc>
          <w:tcPr>
            <w:tcW w:type="dxa" w:w="2328"/>
            <w:shd w:fill="F5F0E7" w:val="clear"/>
          </w:tcPr>
          <w:p>
            <w:pPr>
              <w:spacing w:after="60" w:before="60" w:line="252" w:lineRule="auto"/>
            </w:pPr>
            <w:r>
              <w:rPr>
                <w:rFonts w:ascii="Aptos" w:hAnsi="Aptos"/>
                <w:color w:val="303236"/>
                <w:sz w:val="18"/>
              </w:rPr>
            </w:r>
          </w:p>
        </w:tc>
        <w:tc>
          <w:tcPr>
            <w:tcW w:type="dxa" w:w="2328"/>
            <w:shd w:fill="F5F0E7" w:val="clear"/>
          </w:tcPr>
          <w:p>
            <w:pPr>
              <w:spacing w:after="60" w:before="60" w:line="252" w:lineRule="auto"/>
            </w:pPr>
            <w:r>
              <w:rPr>
                <w:rFonts w:ascii="Aptos" w:hAnsi="Aptos"/>
                <w:color w:val="303236"/>
                <w:sz w:val="18"/>
              </w:rPr>
            </w:r>
          </w:p>
        </w:tc>
        <w:tc>
          <w:tcPr>
            <w:tcW w:type="dxa" w:w="2328"/>
            <w:shd w:fill="F5F0E7" w:val="clear"/>
          </w:tcPr>
          <w:p>
            <w:pPr>
              <w:spacing w:after="60" w:before="60" w:line="252" w:lineRule="auto"/>
            </w:pPr>
            <w:r>
              <w:rPr>
                <w:rFonts w:ascii="Aptos" w:hAnsi="Aptos"/>
                <w:color w:val="303236"/>
                <w:sz w:val="18"/>
              </w:rPr>
            </w:r>
          </w:p>
        </w:tc>
        <w:tc>
          <w:tcPr>
            <w:tcW w:type="dxa" w:w="2328"/>
            <w:shd w:fill="F5F0E7" w:val="clear"/>
          </w:tcPr>
          <w:p>
            <w:pPr>
              <w:spacing w:after="60" w:before="60" w:line="252" w:lineRule="auto"/>
            </w:pPr>
            <w:r>
              <w:rPr>
                <w:rFonts w:ascii="Aptos" w:hAnsi="Aptos"/>
                <w:color w:val="303236"/>
                <w:sz w:val="18"/>
              </w:rPr>
            </w:r>
          </w:p>
        </w:tc>
      </w:tr>
      <w:tr>
        <w:trPr>
          <w:cantSplit/>
        </w:trPr>
        <w:tc>
          <w:tcPr>
            <w:tcW w:type="dxa" w:w="2328"/>
          </w:tcPr>
          <w:p>
            <w:pPr>
              <w:spacing w:after="60" w:before="60" w:line="252" w:lineRule="auto"/>
            </w:pPr>
            <w:r>
              <w:rPr>
                <w:rFonts w:ascii="Aptos" w:hAnsi="Aptos"/>
                <w:color w:val="303236"/>
                <w:sz w:val="18"/>
              </w:rPr>
              <w:t>Interoperability, data quality, provenance, access, export, and portability</w:t>
            </w:r>
          </w:p>
        </w:tc>
        <w:tc>
          <w:tcPr>
            <w:tcW w:type="dxa" w:w="2328"/>
          </w:tcPr>
          <w:p>
            <w:pPr>
              <w:spacing w:after="60" w:before="60" w:line="252" w:lineRule="auto"/>
            </w:pPr>
            <w:r>
              <w:rPr>
                <w:rFonts w:ascii="Aptos" w:hAnsi="Aptos"/>
                <w:color w:val="303236"/>
                <w:sz w:val="18"/>
              </w:rPr>
            </w:r>
          </w:p>
        </w:tc>
        <w:tc>
          <w:tcPr>
            <w:tcW w:type="dxa" w:w="2328"/>
          </w:tcPr>
          <w:p>
            <w:pPr>
              <w:spacing w:after="60" w:before="60" w:line="252" w:lineRule="auto"/>
            </w:pPr>
            <w:r>
              <w:rPr>
                <w:rFonts w:ascii="Aptos" w:hAnsi="Aptos"/>
                <w:color w:val="303236"/>
                <w:sz w:val="18"/>
              </w:rPr>
            </w:r>
          </w:p>
        </w:tc>
        <w:tc>
          <w:tcPr>
            <w:tcW w:type="dxa" w:w="2328"/>
          </w:tcPr>
          <w:p>
            <w:pPr>
              <w:spacing w:after="60" w:before="60" w:line="252" w:lineRule="auto"/>
            </w:pPr>
            <w:r>
              <w:rPr>
                <w:rFonts w:ascii="Aptos" w:hAnsi="Aptos"/>
                <w:color w:val="303236"/>
                <w:sz w:val="18"/>
              </w:rPr>
            </w:r>
          </w:p>
        </w:tc>
        <w:tc>
          <w:tcPr>
            <w:tcW w:type="dxa" w:w="2328"/>
          </w:tcPr>
          <w:p>
            <w:pPr>
              <w:spacing w:after="60" w:before="60" w:line="252" w:lineRule="auto"/>
            </w:pPr>
            <w:r>
              <w:rPr>
                <w:rFonts w:ascii="Aptos" w:hAnsi="Aptos"/>
                <w:color w:val="303236"/>
                <w:sz w:val="18"/>
              </w:rPr>
            </w:r>
          </w:p>
        </w:tc>
        <w:tc>
          <w:tcPr>
            <w:tcW w:type="dxa" w:w="2328"/>
          </w:tcPr>
          <w:p>
            <w:pPr>
              <w:spacing w:after="60" w:before="60" w:line="252" w:lineRule="auto"/>
            </w:pPr>
            <w:r>
              <w:rPr>
                <w:rFonts w:ascii="Aptos" w:hAnsi="Aptos"/>
                <w:color w:val="303236"/>
                <w:sz w:val="18"/>
              </w:rPr>
            </w:r>
          </w:p>
        </w:tc>
      </w:tr>
      <w:tr>
        <w:trPr>
          <w:cantSplit/>
        </w:trPr>
        <w:tc>
          <w:tcPr>
            <w:tcW w:type="dxa" w:w="2328"/>
            <w:shd w:fill="F5F0E7" w:val="clear"/>
          </w:tcPr>
          <w:p>
            <w:pPr>
              <w:spacing w:after="60" w:before="60" w:line="252" w:lineRule="auto"/>
            </w:pPr>
            <w:r>
              <w:rPr>
                <w:rFonts w:ascii="Aptos" w:hAnsi="Aptos"/>
                <w:color w:val="303236"/>
                <w:sz w:val="18"/>
              </w:rPr>
              <w:t>Privacy, cybersecurity, resilience, continuity, incidents, and recovery</w:t>
            </w:r>
          </w:p>
        </w:tc>
        <w:tc>
          <w:tcPr>
            <w:tcW w:type="dxa" w:w="2328"/>
            <w:shd w:fill="F5F0E7" w:val="clear"/>
          </w:tcPr>
          <w:p>
            <w:pPr>
              <w:spacing w:after="60" w:before="60" w:line="252" w:lineRule="auto"/>
            </w:pPr>
            <w:r>
              <w:rPr>
                <w:rFonts w:ascii="Aptos" w:hAnsi="Aptos"/>
                <w:color w:val="303236"/>
                <w:sz w:val="18"/>
              </w:rPr>
            </w:r>
          </w:p>
        </w:tc>
        <w:tc>
          <w:tcPr>
            <w:tcW w:type="dxa" w:w="2328"/>
            <w:shd w:fill="F5F0E7" w:val="clear"/>
          </w:tcPr>
          <w:p>
            <w:pPr>
              <w:spacing w:after="60" w:before="60" w:line="252" w:lineRule="auto"/>
            </w:pPr>
            <w:r>
              <w:rPr>
                <w:rFonts w:ascii="Aptos" w:hAnsi="Aptos"/>
                <w:color w:val="303236"/>
                <w:sz w:val="18"/>
              </w:rPr>
            </w:r>
          </w:p>
        </w:tc>
        <w:tc>
          <w:tcPr>
            <w:tcW w:type="dxa" w:w="2328"/>
            <w:shd w:fill="F5F0E7" w:val="clear"/>
          </w:tcPr>
          <w:p>
            <w:pPr>
              <w:spacing w:after="60" w:before="60" w:line="252" w:lineRule="auto"/>
            </w:pPr>
            <w:r>
              <w:rPr>
                <w:rFonts w:ascii="Aptos" w:hAnsi="Aptos"/>
                <w:color w:val="303236"/>
                <w:sz w:val="18"/>
              </w:rPr>
            </w:r>
          </w:p>
        </w:tc>
        <w:tc>
          <w:tcPr>
            <w:tcW w:type="dxa" w:w="2328"/>
            <w:shd w:fill="F5F0E7" w:val="clear"/>
          </w:tcPr>
          <w:p>
            <w:pPr>
              <w:spacing w:after="60" w:before="60" w:line="252" w:lineRule="auto"/>
            </w:pPr>
            <w:r>
              <w:rPr>
                <w:rFonts w:ascii="Aptos" w:hAnsi="Aptos"/>
                <w:color w:val="303236"/>
                <w:sz w:val="18"/>
              </w:rPr>
            </w:r>
          </w:p>
        </w:tc>
        <w:tc>
          <w:tcPr>
            <w:tcW w:type="dxa" w:w="2328"/>
            <w:shd w:fill="F5F0E7" w:val="clear"/>
          </w:tcPr>
          <w:p>
            <w:pPr>
              <w:spacing w:after="60" w:before="60" w:line="252" w:lineRule="auto"/>
            </w:pPr>
            <w:r>
              <w:rPr>
                <w:rFonts w:ascii="Aptos" w:hAnsi="Aptos"/>
                <w:color w:val="303236"/>
                <w:sz w:val="18"/>
              </w:rPr>
            </w:r>
          </w:p>
        </w:tc>
      </w:tr>
      <w:tr>
        <w:trPr>
          <w:cantSplit/>
        </w:trPr>
        <w:tc>
          <w:tcPr>
            <w:tcW w:type="dxa" w:w="2328"/>
          </w:tcPr>
          <w:p>
            <w:pPr>
              <w:spacing w:after="60" w:before="60" w:line="252" w:lineRule="auto"/>
            </w:pPr>
            <w:r>
              <w:rPr>
                <w:rFonts w:ascii="Aptos" w:hAnsi="Aptos"/>
                <w:color w:val="303236"/>
                <w:sz w:val="18"/>
              </w:rPr>
              <w:t>Pricing units, volume exposure, integration, support, escalation, and auditability</w:t>
            </w:r>
          </w:p>
        </w:tc>
        <w:tc>
          <w:tcPr>
            <w:tcW w:type="dxa" w:w="2328"/>
          </w:tcPr>
          <w:p>
            <w:pPr>
              <w:spacing w:after="60" w:before="60" w:line="252" w:lineRule="auto"/>
            </w:pPr>
            <w:r>
              <w:rPr>
                <w:rFonts w:ascii="Aptos" w:hAnsi="Aptos"/>
                <w:color w:val="303236"/>
                <w:sz w:val="18"/>
              </w:rPr>
            </w:r>
          </w:p>
        </w:tc>
        <w:tc>
          <w:tcPr>
            <w:tcW w:type="dxa" w:w="2328"/>
          </w:tcPr>
          <w:p>
            <w:pPr>
              <w:spacing w:after="60" w:before="60" w:line="252" w:lineRule="auto"/>
            </w:pPr>
            <w:r>
              <w:rPr>
                <w:rFonts w:ascii="Aptos" w:hAnsi="Aptos"/>
                <w:color w:val="303236"/>
                <w:sz w:val="18"/>
              </w:rPr>
            </w:r>
          </w:p>
        </w:tc>
        <w:tc>
          <w:tcPr>
            <w:tcW w:type="dxa" w:w="2328"/>
          </w:tcPr>
          <w:p>
            <w:pPr>
              <w:spacing w:after="60" w:before="60" w:line="252" w:lineRule="auto"/>
            </w:pPr>
            <w:r>
              <w:rPr>
                <w:rFonts w:ascii="Aptos" w:hAnsi="Aptos"/>
                <w:color w:val="303236"/>
                <w:sz w:val="18"/>
              </w:rPr>
            </w:r>
          </w:p>
        </w:tc>
        <w:tc>
          <w:tcPr>
            <w:tcW w:type="dxa" w:w="2328"/>
          </w:tcPr>
          <w:p>
            <w:pPr>
              <w:spacing w:after="60" w:before="60" w:line="252" w:lineRule="auto"/>
            </w:pPr>
            <w:r>
              <w:rPr>
                <w:rFonts w:ascii="Aptos" w:hAnsi="Aptos"/>
                <w:color w:val="303236"/>
                <w:sz w:val="18"/>
              </w:rPr>
            </w:r>
          </w:p>
        </w:tc>
        <w:tc>
          <w:tcPr>
            <w:tcW w:type="dxa" w:w="2328"/>
          </w:tcPr>
          <w:p>
            <w:pPr>
              <w:spacing w:after="60" w:before="60" w:line="252" w:lineRule="auto"/>
            </w:pPr>
            <w:r>
              <w:rPr>
                <w:rFonts w:ascii="Aptos" w:hAnsi="Aptos"/>
                <w:color w:val="303236"/>
                <w:sz w:val="18"/>
              </w:rPr>
            </w:r>
          </w:p>
        </w:tc>
      </w:tr>
      <w:tr>
        <w:trPr>
          <w:cantSplit/>
        </w:trPr>
        <w:tc>
          <w:tcPr>
            <w:tcW w:type="dxa" w:w="2328"/>
            <w:shd w:fill="F5F0E7" w:val="clear"/>
          </w:tcPr>
          <w:p>
            <w:pPr>
              <w:spacing w:after="60" w:before="60" w:line="252" w:lineRule="auto"/>
            </w:pPr>
            <w:r>
              <w:rPr>
                <w:rFonts w:ascii="Aptos" w:hAnsi="Aptos"/>
                <w:color w:val="303236"/>
                <w:sz w:val="18"/>
              </w:rPr>
              <w:t>Continuing disclosure, change notification, validation, approval, rollback, and release control</w:t>
            </w:r>
          </w:p>
        </w:tc>
        <w:tc>
          <w:tcPr>
            <w:tcW w:type="dxa" w:w="2328"/>
            <w:shd w:fill="F5F0E7" w:val="clear"/>
          </w:tcPr>
          <w:p>
            <w:pPr>
              <w:spacing w:after="60" w:before="60" w:line="252" w:lineRule="auto"/>
            </w:pPr>
            <w:r>
              <w:rPr>
                <w:rFonts w:ascii="Aptos" w:hAnsi="Aptos"/>
                <w:color w:val="303236"/>
                <w:sz w:val="18"/>
              </w:rPr>
            </w:r>
          </w:p>
        </w:tc>
        <w:tc>
          <w:tcPr>
            <w:tcW w:type="dxa" w:w="2328"/>
            <w:shd w:fill="F5F0E7" w:val="clear"/>
          </w:tcPr>
          <w:p>
            <w:pPr>
              <w:spacing w:after="60" w:before="60" w:line="252" w:lineRule="auto"/>
            </w:pPr>
            <w:r>
              <w:rPr>
                <w:rFonts w:ascii="Aptos" w:hAnsi="Aptos"/>
                <w:color w:val="303236"/>
                <w:sz w:val="18"/>
              </w:rPr>
            </w:r>
          </w:p>
        </w:tc>
        <w:tc>
          <w:tcPr>
            <w:tcW w:type="dxa" w:w="2328"/>
            <w:shd w:fill="F5F0E7" w:val="clear"/>
          </w:tcPr>
          <w:p>
            <w:pPr>
              <w:spacing w:after="60" w:before="60" w:line="252" w:lineRule="auto"/>
            </w:pPr>
            <w:r>
              <w:rPr>
                <w:rFonts w:ascii="Aptos" w:hAnsi="Aptos"/>
                <w:color w:val="303236"/>
                <w:sz w:val="18"/>
              </w:rPr>
            </w:r>
          </w:p>
        </w:tc>
        <w:tc>
          <w:tcPr>
            <w:tcW w:type="dxa" w:w="2328"/>
            <w:shd w:fill="F5F0E7" w:val="clear"/>
          </w:tcPr>
          <w:p>
            <w:pPr>
              <w:spacing w:after="60" w:before="60" w:line="252" w:lineRule="auto"/>
            </w:pPr>
            <w:r>
              <w:rPr>
                <w:rFonts w:ascii="Aptos" w:hAnsi="Aptos"/>
                <w:color w:val="303236"/>
                <w:sz w:val="18"/>
              </w:rPr>
            </w:r>
          </w:p>
        </w:tc>
        <w:tc>
          <w:tcPr>
            <w:tcW w:type="dxa" w:w="2328"/>
            <w:shd w:fill="F5F0E7" w:val="clear"/>
          </w:tcPr>
          <w:p>
            <w:pPr>
              <w:spacing w:after="60" w:before="60" w:line="252" w:lineRule="auto"/>
            </w:pPr>
            <w:r>
              <w:rPr>
                <w:rFonts w:ascii="Aptos" w:hAnsi="Aptos"/>
                <w:color w:val="303236"/>
                <w:sz w:val="18"/>
              </w:rPr>
            </w:r>
          </w:p>
        </w:tc>
      </w:tr>
      <w:tr>
        <w:trPr>
          <w:cantSplit/>
        </w:trPr>
        <w:tc>
          <w:tcPr>
            <w:tcW w:type="dxa" w:w="2328"/>
          </w:tcPr>
          <w:p>
            <w:pPr>
              <w:spacing w:after="60" w:before="60" w:line="252" w:lineRule="auto"/>
            </w:pPr>
            <w:r>
              <w:rPr>
                <w:rFonts w:ascii="Aptos" w:hAnsi="Aptos"/>
                <w:color w:val="303236"/>
                <w:sz w:val="18"/>
              </w:rPr>
              <w:t>Monitoring data, logs, evidence access, audit rights, and assurance cooperation</w:t>
            </w:r>
          </w:p>
        </w:tc>
        <w:tc>
          <w:tcPr>
            <w:tcW w:type="dxa" w:w="2328"/>
          </w:tcPr>
          <w:p>
            <w:pPr>
              <w:spacing w:after="60" w:before="60" w:line="252" w:lineRule="auto"/>
            </w:pPr>
            <w:r>
              <w:rPr>
                <w:rFonts w:ascii="Aptos" w:hAnsi="Aptos"/>
                <w:color w:val="303236"/>
                <w:sz w:val="18"/>
              </w:rPr>
            </w:r>
          </w:p>
        </w:tc>
        <w:tc>
          <w:tcPr>
            <w:tcW w:type="dxa" w:w="2328"/>
          </w:tcPr>
          <w:p>
            <w:pPr>
              <w:spacing w:after="60" w:before="60" w:line="252" w:lineRule="auto"/>
            </w:pPr>
            <w:r>
              <w:rPr>
                <w:rFonts w:ascii="Aptos" w:hAnsi="Aptos"/>
                <w:color w:val="303236"/>
                <w:sz w:val="18"/>
              </w:rPr>
            </w:r>
          </w:p>
        </w:tc>
        <w:tc>
          <w:tcPr>
            <w:tcW w:type="dxa" w:w="2328"/>
          </w:tcPr>
          <w:p>
            <w:pPr>
              <w:spacing w:after="60" w:before="60" w:line="252" w:lineRule="auto"/>
            </w:pPr>
            <w:r>
              <w:rPr>
                <w:rFonts w:ascii="Aptos" w:hAnsi="Aptos"/>
                <w:color w:val="303236"/>
                <w:sz w:val="18"/>
              </w:rPr>
            </w:r>
          </w:p>
        </w:tc>
        <w:tc>
          <w:tcPr>
            <w:tcW w:type="dxa" w:w="2328"/>
          </w:tcPr>
          <w:p>
            <w:pPr>
              <w:spacing w:after="60" w:before="60" w:line="252" w:lineRule="auto"/>
            </w:pPr>
            <w:r>
              <w:rPr>
                <w:rFonts w:ascii="Aptos" w:hAnsi="Aptos"/>
                <w:color w:val="303236"/>
                <w:sz w:val="18"/>
              </w:rPr>
            </w:r>
          </w:p>
        </w:tc>
        <w:tc>
          <w:tcPr>
            <w:tcW w:type="dxa" w:w="2328"/>
          </w:tcPr>
          <w:p>
            <w:pPr>
              <w:spacing w:after="60" w:before="60" w:line="252" w:lineRule="auto"/>
            </w:pPr>
            <w:r>
              <w:rPr>
                <w:rFonts w:ascii="Aptos" w:hAnsi="Aptos"/>
                <w:color w:val="303236"/>
                <w:sz w:val="18"/>
              </w:rPr>
            </w:r>
          </w:p>
        </w:tc>
      </w:tr>
      <w:tr>
        <w:trPr>
          <w:cantSplit/>
        </w:trPr>
        <w:tc>
          <w:tcPr>
            <w:tcW w:type="dxa" w:w="2328"/>
            <w:shd w:fill="F5F0E7" w:val="clear"/>
          </w:tcPr>
          <w:p>
            <w:pPr>
              <w:spacing w:after="60" w:before="60" w:line="252" w:lineRule="auto"/>
            </w:pPr>
            <w:r>
              <w:rPr>
                <w:rFonts w:ascii="Aptos" w:hAnsi="Aptos"/>
                <w:color w:val="303236"/>
                <w:sz w:val="18"/>
              </w:rPr>
              <w:t>Service levels, downtime, fallback, support, remedies, liability, renewal, termination, and exit</w:t>
            </w:r>
          </w:p>
        </w:tc>
        <w:tc>
          <w:tcPr>
            <w:tcW w:type="dxa" w:w="2328"/>
            <w:shd w:fill="F5F0E7" w:val="clear"/>
          </w:tcPr>
          <w:p>
            <w:pPr>
              <w:spacing w:after="60" w:before="60" w:line="252" w:lineRule="auto"/>
            </w:pPr>
            <w:r>
              <w:rPr>
                <w:rFonts w:ascii="Aptos" w:hAnsi="Aptos"/>
                <w:color w:val="303236"/>
                <w:sz w:val="18"/>
              </w:rPr>
            </w:r>
          </w:p>
        </w:tc>
        <w:tc>
          <w:tcPr>
            <w:tcW w:type="dxa" w:w="2328"/>
            <w:shd w:fill="F5F0E7" w:val="clear"/>
          </w:tcPr>
          <w:p>
            <w:pPr>
              <w:spacing w:after="60" w:before="60" w:line="252" w:lineRule="auto"/>
            </w:pPr>
            <w:r>
              <w:rPr>
                <w:rFonts w:ascii="Aptos" w:hAnsi="Aptos"/>
                <w:color w:val="303236"/>
                <w:sz w:val="18"/>
              </w:rPr>
            </w:r>
          </w:p>
        </w:tc>
        <w:tc>
          <w:tcPr>
            <w:tcW w:type="dxa" w:w="2328"/>
            <w:shd w:fill="F5F0E7" w:val="clear"/>
          </w:tcPr>
          <w:p>
            <w:pPr>
              <w:spacing w:after="60" w:before="60" w:line="252" w:lineRule="auto"/>
            </w:pPr>
            <w:r>
              <w:rPr>
                <w:rFonts w:ascii="Aptos" w:hAnsi="Aptos"/>
                <w:color w:val="303236"/>
                <w:sz w:val="18"/>
              </w:rPr>
            </w:r>
          </w:p>
        </w:tc>
        <w:tc>
          <w:tcPr>
            <w:tcW w:type="dxa" w:w="2328"/>
            <w:shd w:fill="F5F0E7" w:val="clear"/>
          </w:tcPr>
          <w:p>
            <w:pPr>
              <w:spacing w:after="60" w:before="60" w:line="252" w:lineRule="auto"/>
            </w:pPr>
            <w:r>
              <w:rPr>
                <w:rFonts w:ascii="Aptos" w:hAnsi="Aptos"/>
                <w:color w:val="303236"/>
                <w:sz w:val="18"/>
              </w:rPr>
            </w:r>
          </w:p>
        </w:tc>
        <w:tc>
          <w:tcPr>
            <w:tcW w:type="dxa" w:w="2328"/>
            <w:shd w:fill="F5F0E7" w:val="clear"/>
          </w:tcPr>
          <w:p>
            <w:pPr>
              <w:spacing w:after="60" w:before="60" w:line="252" w:lineRule="auto"/>
            </w:pPr>
            <w:r>
              <w:rPr>
                <w:rFonts w:ascii="Aptos" w:hAnsi="Aptos"/>
                <w:color w:val="303236"/>
                <w:sz w:val="18"/>
              </w:rPr>
            </w:r>
          </w:p>
        </w:tc>
      </w:tr>
    </w:tbl>
    <w:p>
      <w:r>
        <w:rPr>
          <w:rFonts w:ascii="Aptos" w:hAnsi="Aptos"/>
          <w:sz w:val="16"/>
        </w:rPr>
        <w:t>Local record control: owner __________________  evidence cut-off __________  next review __________  local version __________</w:t>
      </w:r>
    </w:p>
    <w:p>
      <w:pPr>
        <w:pageBreakBefore/>
        <w:spacing w:after="80"/>
      </w:pPr>
      <w:r>
        <w:rPr>
          <w:rFonts w:ascii="Aptos" w:hAnsi="Aptos"/>
          <w:color w:val="877567"/>
          <w:sz w:val="18"/>
        </w:rPr>
        <w:t>Part IV — Governance, Evidence, and Lifecycle Decision-Making</w:t>
      </w:r>
    </w:p>
    <w:p>
      <w:pPr>
        <w:pStyle w:val="Heading1"/>
      </w:pPr>
      <w:r>
        <w:t>AIHE-C03 — Integrated Institutional-Risk Review</w:t>
      </w:r>
    </w:p>
    <w:p>
      <w:pPr>
        <w:spacing w:after="80"/>
      </w:pPr>
      <w:r>
        <w:rPr>
          <w:color w:val="877567"/>
          <w:sz w:val="20"/>
        </w:rPr>
        <w:t>Chapter 10: Governance, Accountability, and Institutional Risk</w:t>
      </w:r>
    </w:p>
    <w:p>
      <w:r>
        <w:t>Review ethics, equity, privacy, cybersecurity, safety, continuity, trust, legal, and economic risks as one institutional system.</w:t>
      </w:r>
    </w:p>
    <w:p>
      <w:r>
        <w:rPr>
          <w:rFonts w:ascii="Aptos" w:hAnsi="Aptos"/>
          <w:sz w:val="17"/>
        </w:rPr>
        <w:t>Resource: AIHE-C03  |  V1.0  |  Aligned chapters: 10, 12</w:t>
      </w:r>
    </w:p>
    <w:p>
      <w:r>
        <w:t>Complete the record with the people who own the evidence, workflow, budget, safeguards, and follow-up action. Distinguish documented evidence from assumptions and planned evidence collection. Record the exact intervention and version, accountable owner, decision conditions, evidence cut-off, review date, and trigger events.</w:t>
      </w:r>
    </w:p>
    <w:tbl>
      <w:tblPr>
        <w:tblW w:type="auto" w:w="0"/>
        <w:tblLayout w:type="fixed"/>
        <w:tblLook w:firstColumn="1" w:firstRow="1" w:lastColumn="0" w:lastRow="0" w:noHBand="0" w:noVBand="1" w:val="04A0"/>
        <w:tblBorders>
          <w:top w:val="single" w:sz="4" w:color="D9D0C2"/>
          <w:left w:val="single" w:sz="4" w:color="D9D0C2"/>
          <w:bottom w:val="single" w:sz="4" w:color="D9D0C2"/>
          <w:right w:val="single" w:sz="4" w:color="D9D0C2"/>
          <w:insideH w:val="single" w:sz="4" w:color="D9D0C2"/>
          <w:insideV w:val="single" w:sz="4" w:color="D9D0C2"/>
        </w:tblBorders>
        <w:tblCellMar>
          <w:top w:w="80" w:type="dxa"/>
          <w:left w:w="80" w:type="dxa"/>
          <w:bottom w:w="80" w:type="dxa"/>
          <w:right w:w="80" w:type="dxa"/>
        </w:tblCellMar>
      </w:tblPr>
      <w:tblGrid>
        <w:gridCol w:w="2818"/>
        <w:gridCol w:w="4411"/>
        <w:gridCol w:w="2451"/>
        <w:gridCol w:w="4288"/>
      </w:tblGrid>
      <w:tr>
        <w:trPr>
          <w:tblHeader/>
          <w:cantSplit/>
        </w:trPr>
        <w:tc>
          <w:tcPr>
            <w:tcW w:type="dxa" w:w="2818"/>
            <w:shd w:fill="6B2230" w:val="clear"/>
          </w:tcPr>
          <w:p>
            <w:pPr>
              <w:spacing w:after="30" w:before="30"/>
            </w:pPr>
            <w:r>
              <w:rPr>
                <w:rFonts w:ascii="Aptos" w:hAnsi="Aptos"/>
                <w:b/>
                <w:color w:val="FFFFFF"/>
                <w:sz w:val="18"/>
              </w:rPr>
              <w:t>Domain</w:t>
            </w:r>
          </w:p>
        </w:tc>
        <w:tc>
          <w:tcPr>
            <w:tcW w:type="dxa" w:w="4411"/>
            <w:shd w:fill="6B2230" w:val="clear"/>
          </w:tcPr>
          <w:p>
            <w:pPr>
              <w:spacing w:after="30" w:before="30"/>
            </w:pPr>
            <w:r>
              <w:rPr>
                <w:rFonts w:ascii="Aptos" w:hAnsi="Aptos"/>
                <w:b/>
                <w:color w:val="FFFFFF"/>
                <w:sz w:val="18"/>
              </w:rPr>
              <w:t>Question and evidence</w:t>
            </w:r>
          </w:p>
        </w:tc>
        <w:tc>
          <w:tcPr>
            <w:tcW w:type="dxa" w:w="2451"/>
            <w:shd w:fill="6B2230" w:val="clear"/>
          </w:tcPr>
          <w:p>
            <w:pPr>
              <w:spacing w:after="30" w:before="30"/>
            </w:pPr>
            <w:r>
              <w:rPr>
                <w:rFonts w:ascii="Aptos" w:hAnsi="Aptos"/>
                <w:b/>
                <w:color w:val="FFFFFF"/>
                <w:sz w:val="18"/>
              </w:rPr>
              <w:t>Status and residual risk</w:t>
            </w:r>
          </w:p>
        </w:tc>
        <w:tc>
          <w:tcPr>
            <w:tcW w:type="dxa" w:w="4288"/>
            <w:shd w:fill="6B2230" w:val="clear"/>
          </w:tcPr>
          <w:p>
            <w:pPr>
              <w:spacing w:after="30" w:before="30"/>
            </w:pPr>
            <w:r>
              <w:rPr>
                <w:rFonts w:ascii="Aptos" w:hAnsi="Aptos"/>
                <w:b/>
                <w:color w:val="FFFFFF"/>
                <w:sz w:val="18"/>
              </w:rPr>
              <w:t>Safeguard, owner, action, and review</w:t>
            </w:r>
          </w:p>
        </w:tc>
      </w:tr>
      <w:tr>
        <w:trPr>
          <w:cantSplit/>
        </w:trPr>
        <w:tc>
          <w:tcPr>
            <w:tcW w:type="dxa" w:w="2818"/>
            <w:shd w:fill="F5F0E7" w:val="clear"/>
          </w:tcPr>
          <w:p>
            <w:pPr>
              <w:spacing w:after="30" w:before="30" w:line="252" w:lineRule="auto"/>
            </w:pPr>
            <w:r>
              <w:rPr>
                <w:rFonts w:ascii="Aptos" w:hAnsi="Aptos"/>
                <w:color w:val="303236"/>
                <w:sz w:val="18"/>
              </w:rPr>
              <w:t>Autonomy and contestability</w:t>
            </w:r>
          </w:p>
        </w:tc>
        <w:tc>
          <w:tcPr>
            <w:tcW w:type="dxa" w:w="4411"/>
            <w:shd w:fill="F5F0E7" w:val="clear"/>
          </w:tcPr>
          <w:p>
            <w:pPr>
              <w:spacing w:after="30" w:before="30" w:line="252" w:lineRule="auto"/>
            </w:pPr>
            <w:r>
              <w:rPr>
                <w:rFonts w:ascii="Aptos" w:hAnsi="Aptos"/>
                <w:color w:val="303236"/>
                <w:sz w:val="18"/>
              </w:rPr>
              <w:t>Are people informed appropriately, able to question consequential use, and offered a human route where required?</w:t>
            </w:r>
          </w:p>
        </w:tc>
        <w:tc>
          <w:tcPr>
            <w:tcW w:type="dxa" w:w="2451"/>
            <w:shd w:fill="F5F0E7" w:val="clear"/>
          </w:tcPr>
          <w:p>
            <w:pPr>
              <w:spacing w:after="30" w:before="30" w:line="252" w:lineRule="auto"/>
            </w:pPr>
            <w:r>
              <w:rPr>
                <w:rFonts w:ascii="Aptos" w:hAnsi="Aptos"/>
                <w:color w:val="303236"/>
                <w:sz w:val="18"/>
              </w:rPr>
            </w:r>
          </w:p>
        </w:tc>
        <w:tc>
          <w:tcPr>
            <w:tcW w:type="dxa" w:w="4288"/>
            <w:shd w:fill="F5F0E7" w:val="clear"/>
          </w:tcPr>
          <w:p>
            <w:pPr>
              <w:spacing w:after="30" w:before="30" w:line="252" w:lineRule="auto"/>
            </w:pPr>
            <w:r>
              <w:rPr>
                <w:rFonts w:ascii="Aptos" w:hAnsi="Aptos"/>
                <w:color w:val="303236"/>
                <w:sz w:val="18"/>
              </w:rPr>
            </w:r>
          </w:p>
        </w:tc>
      </w:tr>
      <w:tr>
        <w:trPr>
          <w:cantSplit/>
        </w:trPr>
        <w:tc>
          <w:tcPr>
            <w:tcW w:type="dxa" w:w="2818"/>
          </w:tcPr>
          <w:p>
            <w:pPr>
              <w:spacing w:after="30" w:before="30" w:line="252" w:lineRule="auto"/>
            </w:pPr>
            <w:r>
              <w:rPr>
                <w:rFonts w:ascii="Aptos" w:hAnsi="Aptos"/>
                <w:color w:val="303236"/>
                <w:sz w:val="18"/>
              </w:rPr>
              <w:t>Safety and effectiveness</w:t>
            </w:r>
          </w:p>
        </w:tc>
        <w:tc>
          <w:tcPr>
            <w:tcW w:type="dxa" w:w="4411"/>
          </w:tcPr>
          <w:p>
            <w:pPr>
              <w:spacing w:after="30" w:before="30" w:line="252" w:lineRule="auto"/>
            </w:pPr>
            <w:r>
              <w:rPr>
                <w:rFonts w:ascii="Aptos" w:hAnsi="Aptos"/>
                <w:color w:val="303236"/>
                <w:sz w:val="18"/>
              </w:rPr>
              <w:t>Are intended use, limitations, local performance, workflow controls, and fallback acceptable?</w:t>
            </w:r>
          </w:p>
        </w:tc>
        <w:tc>
          <w:tcPr>
            <w:tcW w:type="dxa" w:w="2451"/>
          </w:tcPr>
          <w:p>
            <w:pPr>
              <w:spacing w:after="30" w:before="30" w:line="252" w:lineRule="auto"/>
            </w:pPr>
            <w:r>
              <w:rPr>
                <w:rFonts w:ascii="Aptos" w:hAnsi="Aptos"/>
                <w:color w:val="303236"/>
                <w:sz w:val="18"/>
              </w:rPr>
            </w:r>
          </w:p>
        </w:tc>
        <w:tc>
          <w:tcPr>
            <w:tcW w:type="dxa" w:w="4288"/>
          </w:tcPr>
          <w:p>
            <w:pPr>
              <w:spacing w:after="30" w:before="30" w:line="252" w:lineRule="auto"/>
            </w:pPr>
            <w:r>
              <w:rPr>
                <w:rFonts w:ascii="Aptos" w:hAnsi="Aptos"/>
                <w:color w:val="303236"/>
                <w:sz w:val="18"/>
              </w:rPr>
            </w:r>
          </w:p>
        </w:tc>
      </w:tr>
      <w:tr>
        <w:trPr>
          <w:cantSplit/>
        </w:trPr>
        <w:tc>
          <w:tcPr>
            <w:tcW w:type="dxa" w:w="2818"/>
            <w:shd w:fill="F5F0E7" w:val="clear"/>
          </w:tcPr>
          <w:p>
            <w:pPr>
              <w:spacing w:after="30" w:before="30" w:line="252" w:lineRule="auto"/>
            </w:pPr>
            <w:r>
              <w:rPr>
                <w:rFonts w:ascii="Aptos" w:hAnsi="Aptos"/>
                <w:color w:val="303236"/>
                <w:sz w:val="18"/>
              </w:rPr>
              <w:t>Equity and inclusion</w:t>
            </w:r>
          </w:p>
        </w:tc>
        <w:tc>
          <w:tcPr>
            <w:tcW w:type="dxa" w:w="4411"/>
            <w:shd w:fill="F5F0E7" w:val="clear"/>
          </w:tcPr>
          <w:p>
            <w:pPr>
              <w:spacing w:after="30" w:before="30" w:line="252" w:lineRule="auto"/>
            </w:pPr>
            <w:r>
              <w:rPr>
                <w:rFonts w:ascii="Aptos" w:hAnsi="Aptos"/>
                <w:color w:val="303236"/>
                <w:sz w:val="18"/>
              </w:rPr>
              <w:t>Are data, performance, access, outcomes, and burdens assessed across relevant groups?</w:t>
            </w:r>
          </w:p>
        </w:tc>
        <w:tc>
          <w:tcPr>
            <w:tcW w:type="dxa" w:w="2451"/>
            <w:shd w:fill="F5F0E7" w:val="clear"/>
          </w:tcPr>
          <w:p>
            <w:pPr>
              <w:spacing w:after="30" w:before="30" w:line="252" w:lineRule="auto"/>
            </w:pPr>
            <w:r>
              <w:rPr>
                <w:rFonts w:ascii="Aptos" w:hAnsi="Aptos"/>
                <w:color w:val="303236"/>
                <w:sz w:val="18"/>
              </w:rPr>
            </w:r>
          </w:p>
        </w:tc>
        <w:tc>
          <w:tcPr>
            <w:tcW w:type="dxa" w:w="4288"/>
            <w:shd w:fill="F5F0E7" w:val="clear"/>
          </w:tcPr>
          <w:p>
            <w:pPr>
              <w:spacing w:after="30" w:before="30" w:line="252" w:lineRule="auto"/>
            </w:pPr>
            <w:r>
              <w:rPr>
                <w:rFonts w:ascii="Aptos" w:hAnsi="Aptos"/>
                <w:color w:val="303236"/>
                <w:sz w:val="18"/>
              </w:rPr>
            </w:r>
          </w:p>
        </w:tc>
      </w:tr>
      <w:tr>
        <w:trPr>
          <w:cantSplit/>
        </w:trPr>
        <w:tc>
          <w:tcPr>
            <w:tcW w:type="dxa" w:w="2818"/>
          </w:tcPr>
          <w:p>
            <w:pPr>
              <w:spacing w:after="30" w:before="30" w:line="252" w:lineRule="auto"/>
            </w:pPr>
            <w:r>
              <w:rPr>
                <w:rFonts w:ascii="Aptos" w:hAnsi="Aptos"/>
                <w:color w:val="303236"/>
                <w:sz w:val="18"/>
              </w:rPr>
              <w:t>Privacy and lawful data use</w:t>
            </w:r>
          </w:p>
        </w:tc>
        <w:tc>
          <w:tcPr>
            <w:tcW w:type="dxa" w:w="4411"/>
          </w:tcPr>
          <w:p>
            <w:pPr>
              <w:spacing w:after="30" w:before="30" w:line="252" w:lineRule="auto"/>
            </w:pPr>
            <w:r>
              <w:rPr>
                <w:rFonts w:ascii="Aptos" w:hAnsi="Aptos"/>
                <w:color w:val="303236"/>
                <w:sz w:val="18"/>
              </w:rPr>
              <w:t>Are purpose, necessity, minimization, authority, retention, access, and secondary use governed?</w:t>
            </w:r>
          </w:p>
        </w:tc>
        <w:tc>
          <w:tcPr>
            <w:tcW w:type="dxa" w:w="2451"/>
          </w:tcPr>
          <w:p>
            <w:pPr>
              <w:spacing w:after="30" w:before="30" w:line="252" w:lineRule="auto"/>
            </w:pPr>
            <w:r>
              <w:rPr>
                <w:rFonts w:ascii="Aptos" w:hAnsi="Aptos"/>
                <w:color w:val="303236"/>
                <w:sz w:val="18"/>
              </w:rPr>
            </w:r>
          </w:p>
        </w:tc>
        <w:tc>
          <w:tcPr>
            <w:tcW w:type="dxa" w:w="4288"/>
          </w:tcPr>
          <w:p>
            <w:pPr>
              <w:spacing w:after="30" w:before="30" w:line="252" w:lineRule="auto"/>
            </w:pPr>
            <w:r>
              <w:rPr>
                <w:rFonts w:ascii="Aptos" w:hAnsi="Aptos"/>
                <w:color w:val="303236"/>
                <w:sz w:val="18"/>
              </w:rPr>
            </w:r>
          </w:p>
        </w:tc>
      </w:tr>
      <w:tr>
        <w:trPr>
          <w:cantSplit/>
        </w:trPr>
        <w:tc>
          <w:tcPr>
            <w:tcW w:type="dxa" w:w="2818"/>
            <w:shd w:fill="F5F0E7" w:val="clear"/>
          </w:tcPr>
          <w:p>
            <w:pPr>
              <w:spacing w:after="30" w:before="30" w:line="252" w:lineRule="auto"/>
            </w:pPr>
            <w:r>
              <w:rPr>
                <w:rFonts w:ascii="Aptos" w:hAnsi="Aptos"/>
                <w:color w:val="303236"/>
                <w:sz w:val="18"/>
              </w:rPr>
              <w:t>Cybersecurity and resilience</w:t>
            </w:r>
          </w:p>
        </w:tc>
        <w:tc>
          <w:tcPr>
            <w:tcW w:type="dxa" w:w="4411"/>
            <w:shd w:fill="F5F0E7" w:val="clear"/>
          </w:tcPr>
          <w:p>
            <w:pPr>
              <w:spacing w:after="30" w:before="30" w:line="252" w:lineRule="auto"/>
            </w:pPr>
            <w:r>
              <w:rPr>
                <w:rFonts w:ascii="Aptos" w:hAnsi="Aptos"/>
                <w:color w:val="303236"/>
                <w:sz w:val="18"/>
              </w:rPr>
              <w:t>Are threat, supplier, integration, logging, incident, downtime, recovery, and continuity controls adequate?</w:t>
            </w:r>
          </w:p>
        </w:tc>
        <w:tc>
          <w:tcPr>
            <w:tcW w:type="dxa" w:w="2451"/>
            <w:shd w:fill="F5F0E7" w:val="clear"/>
          </w:tcPr>
          <w:p>
            <w:pPr>
              <w:spacing w:after="30" w:before="30" w:line="252" w:lineRule="auto"/>
            </w:pPr>
            <w:r>
              <w:rPr>
                <w:rFonts w:ascii="Aptos" w:hAnsi="Aptos"/>
                <w:color w:val="303236"/>
                <w:sz w:val="18"/>
              </w:rPr>
            </w:r>
          </w:p>
        </w:tc>
        <w:tc>
          <w:tcPr>
            <w:tcW w:type="dxa" w:w="4288"/>
            <w:shd w:fill="F5F0E7" w:val="clear"/>
          </w:tcPr>
          <w:p>
            <w:pPr>
              <w:spacing w:after="30" w:before="30" w:line="252" w:lineRule="auto"/>
            </w:pPr>
            <w:r>
              <w:rPr>
                <w:rFonts w:ascii="Aptos" w:hAnsi="Aptos"/>
                <w:color w:val="303236"/>
                <w:sz w:val="18"/>
              </w:rPr>
            </w:r>
          </w:p>
        </w:tc>
      </w:tr>
      <w:tr>
        <w:trPr>
          <w:cantSplit/>
        </w:trPr>
        <w:tc>
          <w:tcPr>
            <w:tcW w:type="dxa" w:w="2818"/>
          </w:tcPr>
          <w:p>
            <w:pPr>
              <w:spacing w:after="30" w:before="30" w:line="252" w:lineRule="auto"/>
            </w:pPr>
            <w:r>
              <w:rPr>
                <w:rFonts w:ascii="Aptos" w:hAnsi="Aptos"/>
                <w:color w:val="303236"/>
                <w:sz w:val="18"/>
              </w:rPr>
              <w:t>Transparency and trust</w:t>
            </w:r>
          </w:p>
        </w:tc>
        <w:tc>
          <w:tcPr>
            <w:tcW w:type="dxa" w:w="4411"/>
          </w:tcPr>
          <w:p>
            <w:pPr>
              <w:spacing w:after="30" w:before="30" w:line="252" w:lineRule="auto"/>
            </w:pPr>
            <w:r>
              <w:rPr>
                <w:rFonts w:ascii="Aptos" w:hAnsi="Aptos"/>
                <w:color w:val="303236"/>
                <w:sz w:val="18"/>
              </w:rPr>
              <w:t>Are evidence, uncertainty, limitations, responsibilities, incidents, and communication credible and accessible?</w:t>
            </w:r>
          </w:p>
        </w:tc>
        <w:tc>
          <w:tcPr>
            <w:tcW w:type="dxa" w:w="2451"/>
          </w:tcPr>
          <w:p>
            <w:pPr>
              <w:spacing w:after="30" w:before="30" w:line="252" w:lineRule="auto"/>
            </w:pPr>
            <w:r>
              <w:rPr>
                <w:rFonts w:ascii="Aptos" w:hAnsi="Aptos"/>
                <w:color w:val="303236"/>
                <w:sz w:val="18"/>
              </w:rPr>
            </w:r>
          </w:p>
        </w:tc>
        <w:tc>
          <w:tcPr>
            <w:tcW w:type="dxa" w:w="4288"/>
          </w:tcPr>
          <w:p>
            <w:pPr>
              <w:spacing w:after="30" w:before="30" w:line="252" w:lineRule="auto"/>
            </w:pPr>
            <w:r>
              <w:rPr>
                <w:rFonts w:ascii="Aptos" w:hAnsi="Aptos"/>
                <w:color w:val="303236"/>
                <w:sz w:val="18"/>
              </w:rPr>
            </w:r>
          </w:p>
        </w:tc>
      </w:tr>
      <w:tr>
        <w:trPr>
          <w:cantSplit/>
        </w:trPr>
        <w:tc>
          <w:tcPr>
            <w:tcW w:type="dxa" w:w="2818"/>
            <w:shd w:fill="F5F0E7" w:val="clear"/>
          </w:tcPr>
          <w:p>
            <w:pPr>
              <w:spacing w:after="30" w:before="30" w:line="252" w:lineRule="auto"/>
            </w:pPr>
            <w:r>
              <w:rPr>
                <w:rFonts w:ascii="Aptos" w:hAnsi="Aptos"/>
                <w:color w:val="303236"/>
                <w:sz w:val="18"/>
              </w:rPr>
              <w:t>Accountability and oversight</w:t>
            </w:r>
          </w:p>
        </w:tc>
        <w:tc>
          <w:tcPr>
            <w:tcW w:type="dxa" w:w="4411"/>
            <w:shd w:fill="F5F0E7" w:val="clear"/>
          </w:tcPr>
          <w:p>
            <w:pPr>
              <w:spacing w:after="30" w:before="30" w:line="252" w:lineRule="auto"/>
            </w:pPr>
            <w:r>
              <w:rPr>
                <w:rFonts w:ascii="Aptos" w:hAnsi="Aptos"/>
                <w:color w:val="303236"/>
                <w:sz w:val="18"/>
              </w:rPr>
              <w:t>Are decision rights, review workload, escalation, pause, update, restart, renewal, and retirement authority explicit?</w:t>
            </w:r>
          </w:p>
        </w:tc>
        <w:tc>
          <w:tcPr>
            <w:tcW w:type="dxa" w:w="2451"/>
            <w:shd w:fill="F5F0E7" w:val="clear"/>
          </w:tcPr>
          <w:p>
            <w:pPr>
              <w:spacing w:after="30" w:before="30" w:line="252" w:lineRule="auto"/>
            </w:pPr>
            <w:r>
              <w:rPr>
                <w:rFonts w:ascii="Aptos" w:hAnsi="Aptos"/>
                <w:color w:val="303236"/>
                <w:sz w:val="18"/>
              </w:rPr>
            </w:r>
          </w:p>
        </w:tc>
        <w:tc>
          <w:tcPr>
            <w:tcW w:type="dxa" w:w="4288"/>
            <w:shd w:fill="F5F0E7" w:val="clear"/>
          </w:tcPr>
          <w:p>
            <w:pPr>
              <w:spacing w:after="30" w:before="30" w:line="252" w:lineRule="auto"/>
            </w:pPr>
            <w:r>
              <w:rPr>
                <w:rFonts w:ascii="Aptos" w:hAnsi="Aptos"/>
                <w:color w:val="303236"/>
                <w:sz w:val="18"/>
              </w:rPr>
            </w:r>
          </w:p>
        </w:tc>
      </w:tr>
    </w:tbl>
    <w:p>
      <w:r>
        <w:rPr>
          <w:rFonts w:ascii="Aptos" w:hAnsi="Aptos"/>
          <w:sz w:val="16"/>
        </w:rPr>
        <w:t>Local record control: owner __________________  evidence cut-off __________  next review __________  local version __________</w:t>
      </w:r>
    </w:p>
    <w:p>
      <w:pPr>
        <w:pageBreakBefore/>
        <w:spacing w:after="80"/>
      </w:pPr>
      <w:r>
        <w:rPr>
          <w:rFonts w:ascii="Aptos" w:hAnsi="Aptos"/>
          <w:color w:val="877567"/>
          <w:sz w:val="18"/>
        </w:rPr>
        <w:t>Part IV — Governance, Evidence, and Lifecycle Decision-Making</w:t>
      </w:r>
    </w:p>
    <w:p>
      <w:pPr>
        <w:pStyle w:val="Heading1"/>
      </w:pPr>
      <w:r>
        <w:t>AIHE-C05 — Public Transparency and Communication Record</w:t>
      </w:r>
    </w:p>
    <w:p>
      <w:pPr>
        <w:spacing w:after="80"/>
      </w:pPr>
      <w:r>
        <w:rPr>
          <w:color w:val="877567"/>
          <w:sz w:val="20"/>
        </w:rPr>
        <w:t>Chapter 10: Governance, Accountability, and Institutional Risk</w:t>
      </w:r>
    </w:p>
    <w:p>
      <w:r>
        <w:t>Define accurate, accessible communication about intended use, limitations, oversight, data, complaints, incidents, and alternatives.</w:t>
      </w:r>
    </w:p>
    <w:p>
      <w:r>
        <w:rPr>
          <w:rFonts w:ascii="Aptos" w:hAnsi="Aptos"/>
          <w:sz w:val="17"/>
        </w:rPr>
        <w:t>Resource: AIHE-C05  |  V1.0  |  Aligned chapters: 3, 10, 12</w:t>
      </w:r>
    </w:p>
    <w:p>
      <w:r>
        <w:t>Complete the record with the people who own the evidence, workflow, budget, safeguards, and follow-up action. Distinguish documented evidence from assumptions and planned evidence collection. Record the exact intervention and version, accountable owner, decision conditions, evidence cut-off, review date, and trigger events.</w:t>
      </w:r>
    </w:p>
    <w:tbl>
      <w:tblPr>
        <w:tblW w:type="auto" w:w="0"/>
        <w:tblLayout w:type="fixed"/>
        <w:tblLook w:firstColumn="1" w:firstRow="1" w:lastColumn="0" w:lastRow="0" w:noHBand="0" w:noVBand="1" w:val="04A0"/>
        <w:tblBorders>
          <w:top w:val="single" w:sz="4" w:color="D9D0C2"/>
          <w:left w:val="single" w:sz="4" w:color="D9D0C2"/>
          <w:bottom w:val="single" w:sz="4" w:color="D9D0C2"/>
          <w:right w:val="single" w:sz="4" w:color="D9D0C2"/>
          <w:insideH w:val="single" w:sz="4" w:color="D9D0C2"/>
          <w:insideV w:val="single" w:sz="4" w:color="D9D0C2"/>
        </w:tblBorders>
        <w:tblCellMar>
          <w:top w:w="80" w:type="dxa"/>
          <w:left w:w="80" w:type="dxa"/>
          <w:bottom w:w="80" w:type="dxa"/>
          <w:right w:w="80" w:type="dxa"/>
        </w:tblCellMar>
      </w:tblPr>
      <w:tblGrid>
        <w:gridCol w:w="4464"/>
        <w:gridCol w:w="9504"/>
      </w:tblGrid>
      <w:tr>
        <w:trPr>
          <w:tblHeader/>
          <w:cantSplit/>
        </w:trPr>
        <w:tc>
          <w:tcPr>
            <w:tcW w:type="dxa" w:w="4464"/>
            <w:shd w:fill="6B2230" w:val="clear"/>
          </w:tcPr>
          <w:p>
            <w:pPr>
              <w:spacing w:after="60" w:before="60"/>
            </w:pPr>
            <w:r>
              <w:rPr>
                <w:rFonts w:ascii="Aptos" w:hAnsi="Aptos"/>
                <w:b/>
                <w:color w:val="FFFFFF"/>
                <w:sz w:val="18"/>
              </w:rPr>
              <w:t>Communication element</w:t>
            </w:r>
          </w:p>
        </w:tc>
        <w:tc>
          <w:tcPr>
            <w:tcW w:type="dxa" w:w="9504"/>
            <w:shd w:fill="6B2230" w:val="clear"/>
          </w:tcPr>
          <w:p>
            <w:pPr>
              <w:spacing w:after="60" w:before="60"/>
            </w:pPr>
            <w:r>
              <w:rPr>
                <w:rFonts w:ascii="Aptos" w:hAnsi="Aptos"/>
                <w:b/>
                <w:color w:val="FFFFFF"/>
                <w:sz w:val="18"/>
              </w:rPr>
              <w:t>Approved content, channel, owner, and review</w:t>
            </w:r>
          </w:p>
        </w:tc>
      </w:tr>
      <w:tr>
        <w:trPr>
          <w:cantSplit/>
        </w:trPr>
        <w:tc>
          <w:tcPr>
            <w:tcW w:type="dxa" w:w="4464"/>
            <w:shd w:fill="F5F0E7" w:val="clear"/>
          </w:tcPr>
          <w:p>
            <w:pPr>
              <w:spacing w:after="60" w:before="60" w:line="252" w:lineRule="auto"/>
            </w:pPr>
            <w:r>
              <w:rPr>
                <w:rFonts w:ascii="Aptos" w:hAnsi="Aptos"/>
                <w:color w:val="303236"/>
                <w:sz w:val="18"/>
              </w:rPr>
              <w:t>Purpose and intended use</w:t>
            </w:r>
          </w:p>
        </w:tc>
        <w:tc>
          <w:tcPr>
            <w:tcW w:type="dxa" w:w="9504"/>
            <w:shd w:fill="F5F0E7" w:val="clear"/>
          </w:tcPr>
          <w:p>
            <w:pPr>
              <w:spacing w:after="60" w:before="60" w:line="252" w:lineRule="auto"/>
            </w:pPr>
            <w:r>
              <w:rPr>
                <w:rFonts w:ascii="Aptos" w:hAnsi="Aptos"/>
                <w:color w:val="303236"/>
                <w:sz w:val="18"/>
              </w:rPr>
            </w:r>
          </w:p>
        </w:tc>
      </w:tr>
      <w:tr>
        <w:trPr>
          <w:cantSplit/>
        </w:trPr>
        <w:tc>
          <w:tcPr>
            <w:tcW w:type="dxa" w:w="4464"/>
          </w:tcPr>
          <w:p>
            <w:pPr>
              <w:spacing w:after="60" w:before="60" w:line="252" w:lineRule="auto"/>
            </w:pPr>
            <w:r>
              <w:rPr>
                <w:rFonts w:ascii="Aptos" w:hAnsi="Aptos"/>
                <w:color w:val="303236"/>
                <w:sz w:val="18"/>
              </w:rPr>
              <w:t>What the system does and does not do</w:t>
            </w:r>
          </w:p>
        </w:tc>
        <w:tc>
          <w:tcPr>
            <w:tcW w:type="dxa" w:w="9504"/>
          </w:tcPr>
          <w:p>
            <w:pPr>
              <w:spacing w:after="60" w:before="60" w:line="252" w:lineRule="auto"/>
            </w:pPr>
            <w:r>
              <w:rPr>
                <w:rFonts w:ascii="Aptos" w:hAnsi="Aptos"/>
                <w:color w:val="303236"/>
                <w:sz w:val="18"/>
              </w:rPr>
            </w:r>
          </w:p>
        </w:tc>
      </w:tr>
      <w:tr>
        <w:trPr>
          <w:cantSplit/>
        </w:trPr>
        <w:tc>
          <w:tcPr>
            <w:tcW w:type="dxa" w:w="4464"/>
            <w:shd w:fill="F5F0E7" w:val="clear"/>
          </w:tcPr>
          <w:p>
            <w:pPr>
              <w:spacing w:after="60" w:before="60" w:line="252" w:lineRule="auto"/>
            </w:pPr>
            <w:r>
              <w:rPr>
                <w:rFonts w:ascii="Aptos" w:hAnsi="Aptos"/>
                <w:color w:val="303236"/>
                <w:sz w:val="18"/>
              </w:rPr>
              <w:t>Role of human review and accountability</w:t>
            </w:r>
          </w:p>
        </w:tc>
        <w:tc>
          <w:tcPr>
            <w:tcW w:type="dxa" w:w="9504"/>
            <w:shd w:fill="F5F0E7" w:val="clear"/>
          </w:tcPr>
          <w:p>
            <w:pPr>
              <w:spacing w:after="60" w:before="60" w:line="252" w:lineRule="auto"/>
            </w:pPr>
            <w:r>
              <w:rPr>
                <w:rFonts w:ascii="Aptos" w:hAnsi="Aptos"/>
                <w:color w:val="303236"/>
                <w:sz w:val="18"/>
              </w:rPr>
            </w:r>
          </w:p>
        </w:tc>
      </w:tr>
      <w:tr>
        <w:trPr>
          <w:cantSplit/>
        </w:trPr>
        <w:tc>
          <w:tcPr>
            <w:tcW w:type="dxa" w:w="4464"/>
          </w:tcPr>
          <w:p>
            <w:pPr>
              <w:spacing w:after="60" w:before="60" w:line="252" w:lineRule="auto"/>
            </w:pPr>
            <w:r>
              <w:rPr>
                <w:rFonts w:ascii="Aptos" w:hAnsi="Aptos"/>
                <w:color w:val="303236"/>
                <w:sz w:val="18"/>
              </w:rPr>
              <w:t>Data use, privacy, retention, and external providers</w:t>
            </w:r>
          </w:p>
        </w:tc>
        <w:tc>
          <w:tcPr>
            <w:tcW w:type="dxa" w:w="9504"/>
          </w:tcPr>
          <w:p>
            <w:pPr>
              <w:spacing w:after="60" w:before="60" w:line="252" w:lineRule="auto"/>
            </w:pPr>
            <w:r>
              <w:rPr>
                <w:rFonts w:ascii="Aptos" w:hAnsi="Aptos"/>
                <w:color w:val="303236"/>
                <w:sz w:val="18"/>
              </w:rPr>
            </w:r>
          </w:p>
        </w:tc>
      </w:tr>
      <w:tr>
        <w:trPr>
          <w:cantSplit/>
        </w:trPr>
        <w:tc>
          <w:tcPr>
            <w:tcW w:type="dxa" w:w="4464"/>
            <w:shd w:fill="F5F0E7" w:val="clear"/>
          </w:tcPr>
          <w:p>
            <w:pPr>
              <w:spacing w:after="60" w:before="60" w:line="252" w:lineRule="auto"/>
            </w:pPr>
            <w:r>
              <w:rPr>
                <w:rFonts w:ascii="Aptos" w:hAnsi="Aptos"/>
                <w:color w:val="303236"/>
                <w:sz w:val="18"/>
              </w:rPr>
              <w:t>Known limitations, uncertainty, and subgroup concerns</w:t>
            </w:r>
          </w:p>
        </w:tc>
        <w:tc>
          <w:tcPr>
            <w:tcW w:type="dxa" w:w="9504"/>
            <w:shd w:fill="F5F0E7" w:val="clear"/>
          </w:tcPr>
          <w:p>
            <w:pPr>
              <w:spacing w:after="60" w:before="60" w:line="252" w:lineRule="auto"/>
            </w:pPr>
            <w:r>
              <w:rPr>
                <w:rFonts w:ascii="Aptos" w:hAnsi="Aptos"/>
                <w:color w:val="303236"/>
                <w:sz w:val="18"/>
              </w:rPr>
            </w:r>
          </w:p>
        </w:tc>
      </w:tr>
      <w:tr>
        <w:trPr>
          <w:cantSplit/>
        </w:trPr>
        <w:tc>
          <w:tcPr>
            <w:tcW w:type="dxa" w:w="4464"/>
          </w:tcPr>
          <w:p>
            <w:pPr>
              <w:spacing w:after="60" w:before="60" w:line="252" w:lineRule="auto"/>
            </w:pPr>
            <w:r>
              <w:rPr>
                <w:rFonts w:ascii="Aptos" w:hAnsi="Aptos"/>
                <w:color w:val="303236"/>
                <w:sz w:val="18"/>
              </w:rPr>
              <w:t>Accessibility, language, disability, and non-digital alternatives</w:t>
            </w:r>
          </w:p>
        </w:tc>
        <w:tc>
          <w:tcPr>
            <w:tcW w:type="dxa" w:w="9504"/>
          </w:tcPr>
          <w:p>
            <w:pPr>
              <w:spacing w:after="60" w:before="60" w:line="252" w:lineRule="auto"/>
            </w:pPr>
            <w:r>
              <w:rPr>
                <w:rFonts w:ascii="Aptos" w:hAnsi="Aptos"/>
                <w:color w:val="303236"/>
                <w:sz w:val="18"/>
              </w:rPr>
            </w:r>
          </w:p>
        </w:tc>
      </w:tr>
      <w:tr>
        <w:trPr>
          <w:cantSplit/>
        </w:trPr>
        <w:tc>
          <w:tcPr>
            <w:tcW w:type="dxa" w:w="4464"/>
            <w:shd w:fill="F5F0E7" w:val="clear"/>
          </w:tcPr>
          <w:p>
            <w:pPr>
              <w:spacing w:after="60" w:before="60" w:line="252" w:lineRule="auto"/>
            </w:pPr>
            <w:r>
              <w:rPr>
                <w:rFonts w:ascii="Aptos" w:hAnsi="Aptos"/>
                <w:color w:val="303236"/>
                <w:sz w:val="18"/>
              </w:rPr>
              <w:t>Questions, complaints, contestability, and incident communication</w:t>
            </w:r>
          </w:p>
        </w:tc>
        <w:tc>
          <w:tcPr>
            <w:tcW w:type="dxa" w:w="9504"/>
            <w:shd w:fill="F5F0E7" w:val="clear"/>
          </w:tcPr>
          <w:p>
            <w:pPr>
              <w:spacing w:after="60" w:before="60" w:line="252" w:lineRule="auto"/>
            </w:pPr>
            <w:r>
              <w:rPr>
                <w:rFonts w:ascii="Aptos" w:hAnsi="Aptos"/>
                <w:color w:val="303236"/>
                <w:sz w:val="18"/>
              </w:rPr>
            </w:r>
          </w:p>
        </w:tc>
      </w:tr>
      <w:tr>
        <w:trPr>
          <w:cantSplit/>
        </w:trPr>
        <w:tc>
          <w:tcPr>
            <w:tcW w:type="dxa" w:w="4464"/>
          </w:tcPr>
          <w:p>
            <w:pPr>
              <w:spacing w:after="60" w:before="60" w:line="252" w:lineRule="auto"/>
            </w:pPr>
            <w:r>
              <w:rPr>
                <w:rFonts w:ascii="Aptos" w:hAnsi="Aptos"/>
                <w:color w:val="303236"/>
                <w:sz w:val="18"/>
              </w:rPr>
              <w:t>Material changes, suspension, and retirement</w:t>
            </w:r>
          </w:p>
        </w:tc>
        <w:tc>
          <w:tcPr>
            <w:tcW w:type="dxa" w:w="9504"/>
          </w:tcPr>
          <w:p>
            <w:pPr>
              <w:spacing w:after="60" w:before="60" w:line="252" w:lineRule="auto"/>
            </w:pPr>
            <w:r>
              <w:rPr>
                <w:rFonts w:ascii="Aptos" w:hAnsi="Aptos"/>
                <w:color w:val="303236"/>
                <w:sz w:val="18"/>
              </w:rPr>
            </w:r>
          </w:p>
        </w:tc>
      </w:tr>
    </w:tbl>
    <w:p>
      <w:r>
        <w:rPr>
          <w:rFonts w:ascii="Aptos" w:hAnsi="Aptos"/>
          <w:sz w:val="16"/>
        </w:rPr>
        <w:t>Local record control: owner __________________  evidence cut-off __________  next review __________  local version __________</w:t>
      </w:r>
    </w:p>
    <w:p>
      <w:pPr>
        <w:pageBreakBefore/>
        <w:spacing w:after="80"/>
      </w:pPr>
      <w:r>
        <w:rPr>
          <w:rFonts w:ascii="Aptos" w:hAnsi="Aptos"/>
          <w:color w:val="877567"/>
          <w:sz w:val="18"/>
        </w:rPr>
        <w:t>Part IV — Governance, Evidence, and Lifecycle Decision-Making</w:t>
      </w:r>
    </w:p>
    <w:p>
      <w:pPr>
        <w:pStyle w:val="Heading1"/>
      </w:pPr>
      <w:r>
        <w:t>AIHE-D02 — Lifecycle Decision State, Staged Evidence, and AI-HED Status</w:t>
      </w:r>
    </w:p>
    <w:p>
      <w:pPr>
        <w:spacing w:after="80"/>
      </w:pPr>
      <w:r>
        <w:rPr>
          <w:color w:val="877567"/>
          <w:sz w:val="20"/>
        </w:rPr>
        <w:t>Chapter 12: Decision Architecture and Lifecycle Governance</w:t>
      </w:r>
    </w:p>
    <w:p>
      <w:r>
        <w:t>Record the current institutional decision state, exact intervention identity, scope, evidence, conditions, safeguards, triggers, authority, history, and next review.</w:t>
      </w:r>
    </w:p>
    <w:p>
      <w:r>
        <w:rPr>
          <w:rFonts w:ascii="Aptos" w:hAnsi="Aptos"/>
          <w:sz w:val="17"/>
        </w:rPr>
        <w:t>Resource: AIHE-D02  |  V1.0  |  Aligned chapters: 4, 9, 11, 12</w:t>
      </w:r>
    </w:p>
    <w:p>
      <w:r>
        <w:t>Use the institutional decision states in Table 12.3. A permission state describes what the institution presently permits; silent evaluation, a pilot, and implementation milestones do not themselves constitute authorization. Link every transition to evidence, accountable authority, scope, conditions, and date.</w:t>
      </w:r>
    </w:p>
    <w:tbl>
      <w:tblPr>
        <w:tblW w:type="auto" w:w="0"/>
        <w:tblLayout w:type="fixed"/>
        <w:tblLook w:firstColumn="1" w:firstRow="1" w:lastColumn="0" w:lastRow="0" w:noHBand="0" w:noVBand="1" w:val="04A0"/>
        <w:tblBorders>
          <w:top w:val="single" w:sz="4" w:color="D9D0C2"/>
          <w:left w:val="single" w:sz="4" w:color="D9D0C2"/>
          <w:bottom w:val="single" w:sz="4" w:color="D9D0C2"/>
          <w:right w:val="single" w:sz="4" w:color="D9D0C2"/>
          <w:insideH w:val="single" w:sz="4" w:color="D9D0C2"/>
          <w:insideV w:val="single" w:sz="4" w:color="D9D0C2"/>
        </w:tblBorders>
        <w:tblCellMar>
          <w:top w:w="80" w:type="dxa"/>
          <w:left w:w="80" w:type="dxa"/>
          <w:bottom w:w="80" w:type="dxa"/>
          <w:right w:w="80" w:type="dxa"/>
        </w:tblCellMar>
      </w:tblPr>
      <w:tblGrid>
        <w:gridCol w:w="2794"/>
        <w:gridCol w:w="2794"/>
        <w:gridCol w:w="2794"/>
        <w:gridCol w:w="2794"/>
        <w:gridCol w:w="2794"/>
      </w:tblGrid>
      <w:tr>
        <w:trPr>
          <w:tblHeader/>
          <w:cantSplit/>
        </w:trPr>
        <w:tc>
          <w:tcPr>
            <w:tcW w:type="dxa" w:w="2794"/>
            <w:shd w:fill="6B2230" w:val="clear"/>
          </w:tcPr>
          <w:p>
            <w:pPr>
              <w:spacing w:after="60" w:before="60"/>
            </w:pPr>
            <w:r>
              <w:rPr>
                <w:rFonts w:ascii="Aptos" w:hAnsi="Aptos"/>
                <w:b/>
                <w:color w:val="FFFFFF"/>
                <w:sz w:val="18"/>
              </w:rPr>
              <w:t>Decision-provenance element</w:t>
            </w:r>
          </w:p>
        </w:tc>
        <w:tc>
          <w:tcPr>
            <w:tcW w:type="dxa" w:w="2794"/>
            <w:shd w:fill="6B2230" w:val="clear"/>
          </w:tcPr>
          <w:p>
            <w:pPr>
              <w:spacing w:after="60" w:before="60"/>
            </w:pPr>
            <w:r>
              <w:rPr>
                <w:rFonts w:ascii="Aptos" w:hAnsi="Aptos"/>
                <w:b/>
                <w:color w:val="FFFFFF"/>
                <w:sz w:val="18"/>
              </w:rPr>
              <w:t>Required evidence or record</w:t>
            </w:r>
          </w:p>
        </w:tc>
        <w:tc>
          <w:tcPr>
            <w:tcW w:type="dxa" w:w="2794"/>
            <w:shd w:fill="6B2230" w:val="clear"/>
          </w:tcPr>
          <w:p>
            <w:pPr>
              <w:spacing w:after="60" w:before="60"/>
            </w:pPr>
            <w:r>
              <w:rPr>
                <w:rFonts w:ascii="Aptos" w:hAnsi="Aptos"/>
                <w:b/>
                <w:color w:val="FFFFFF"/>
                <w:sz w:val="18"/>
              </w:rPr>
              <w:t>Current status or state</w:t>
            </w:r>
          </w:p>
        </w:tc>
        <w:tc>
          <w:tcPr>
            <w:tcW w:type="dxa" w:w="2794"/>
            <w:shd w:fill="6B2230" w:val="clear"/>
          </w:tcPr>
          <w:p>
            <w:pPr>
              <w:spacing w:after="60" w:before="60"/>
            </w:pPr>
            <w:r>
              <w:rPr>
                <w:rFonts w:ascii="Aptos" w:hAnsi="Aptos"/>
                <w:b/>
                <w:color w:val="FFFFFF"/>
                <w:sz w:val="18"/>
              </w:rPr>
              <w:t>Condition, safeguard, trigger, or unresolved matter</w:t>
            </w:r>
          </w:p>
        </w:tc>
        <w:tc>
          <w:tcPr>
            <w:tcW w:type="dxa" w:w="2794"/>
            <w:shd w:fill="6B2230" w:val="clear"/>
          </w:tcPr>
          <w:p>
            <w:pPr>
              <w:spacing w:after="60" w:before="60"/>
            </w:pPr>
            <w:r>
              <w:rPr>
                <w:rFonts w:ascii="Aptos" w:hAnsi="Aptos"/>
                <w:b/>
                <w:color w:val="FFFFFF"/>
                <w:sz w:val="18"/>
              </w:rPr>
              <w:t>Accountable authority, date, and next review</w:t>
            </w:r>
          </w:p>
        </w:tc>
      </w:tr>
      <w:tr>
        <w:trPr>
          <w:cantSplit/>
        </w:trPr>
        <w:tc>
          <w:tcPr>
            <w:tcW w:type="dxa" w:w="2794"/>
            <w:shd w:fill="F5F0E7" w:val="clear"/>
          </w:tcPr>
          <w:p>
            <w:pPr>
              <w:spacing w:after="60" w:before="60" w:line="252" w:lineRule="auto"/>
            </w:pPr>
            <w:r>
              <w:rPr>
                <w:rFonts w:ascii="Aptos" w:hAnsi="Aptos"/>
                <w:color w:val="303236"/>
                <w:sz w:val="18"/>
              </w:rPr>
              <w:t>Decision identity</w:t>
            </w:r>
          </w:p>
        </w:tc>
        <w:tc>
          <w:tcPr>
            <w:tcW w:type="dxa" w:w="2794"/>
            <w:shd w:fill="F5F0E7" w:val="clear"/>
          </w:tcPr>
          <w:p>
            <w:pPr>
              <w:spacing w:after="60" w:before="60" w:line="252" w:lineRule="auto"/>
            </w:pPr>
            <w:r>
              <w:rPr>
                <w:rFonts w:ascii="Aptos" w:hAnsi="Aptos"/>
                <w:color w:val="303236"/>
                <w:sz w:val="18"/>
              </w:rPr>
              <w:t>Intervention, supplier, model, configuration, data, workflow, intended use, population, setting, comparator, and version</w:t>
            </w:r>
          </w:p>
        </w:tc>
        <w:tc>
          <w:tcPr>
            <w:tcW w:type="dxa" w:w="2794"/>
            <w:shd w:fill="F5F0E7" w:val="clear"/>
          </w:tcPr>
          <w:p>
            <w:pPr>
              <w:spacing w:after="60" w:before="60" w:line="252" w:lineRule="auto"/>
            </w:pPr>
            <w:r>
              <w:rPr>
                <w:rFonts w:ascii="Aptos" w:hAnsi="Aptos"/>
                <w:color w:val="303236"/>
                <w:sz w:val="18"/>
              </w:rPr>
            </w:r>
          </w:p>
        </w:tc>
        <w:tc>
          <w:tcPr>
            <w:tcW w:type="dxa" w:w="2794"/>
            <w:shd w:fill="F5F0E7" w:val="clear"/>
          </w:tcPr>
          <w:p>
            <w:pPr>
              <w:spacing w:after="60" w:before="60" w:line="252" w:lineRule="auto"/>
            </w:pPr>
            <w:r>
              <w:rPr>
                <w:rFonts w:ascii="Aptos" w:hAnsi="Aptos"/>
                <w:color w:val="303236"/>
                <w:sz w:val="18"/>
              </w:rPr>
            </w:r>
          </w:p>
        </w:tc>
        <w:tc>
          <w:tcPr>
            <w:tcW w:type="dxa" w:w="2794"/>
            <w:shd w:fill="F5F0E7" w:val="clear"/>
          </w:tcPr>
          <w:p>
            <w:pPr>
              <w:spacing w:after="60" w:before="60" w:line="252" w:lineRule="auto"/>
            </w:pPr>
            <w:r>
              <w:rPr>
                <w:rFonts w:ascii="Aptos" w:hAnsi="Aptos"/>
                <w:color w:val="303236"/>
                <w:sz w:val="18"/>
              </w:rPr>
            </w:r>
          </w:p>
        </w:tc>
      </w:tr>
      <w:tr>
        <w:trPr>
          <w:cantSplit/>
        </w:trPr>
        <w:tc>
          <w:tcPr>
            <w:tcW w:type="dxa" w:w="2794"/>
          </w:tcPr>
          <w:p>
            <w:pPr>
              <w:spacing w:after="60" w:before="60" w:line="252" w:lineRule="auto"/>
            </w:pPr>
            <w:r>
              <w:rPr>
                <w:rFonts w:ascii="Aptos" w:hAnsi="Aptos"/>
                <w:color w:val="303236"/>
                <w:sz w:val="18"/>
              </w:rPr>
              <w:t>Current institutional decision state</w:t>
            </w:r>
          </w:p>
        </w:tc>
        <w:tc>
          <w:tcPr>
            <w:tcW w:type="dxa" w:w="2794"/>
          </w:tcPr>
          <w:p>
            <w:pPr>
              <w:spacing w:after="60" w:before="60" w:line="252" w:lineRule="auto"/>
            </w:pPr>
            <w:r>
              <w:rPr>
                <w:rFonts w:ascii="Aptos" w:hAnsi="Aptos"/>
                <w:color w:val="303236"/>
                <w:sz w:val="18"/>
              </w:rPr>
              <w:t>Under consideration; Evaluation authorized; Conditional use; Authorized use; Restricted use; Paused or suspended; Retired or superseded</w:t>
            </w:r>
          </w:p>
        </w:tc>
        <w:tc>
          <w:tcPr>
            <w:tcW w:type="dxa" w:w="2794"/>
          </w:tcPr>
          <w:p>
            <w:pPr>
              <w:spacing w:after="60" w:before="60" w:line="252" w:lineRule="auto"/>
            </w:pPr>
            <w:r>
              <w:rPr>
                <w:rFonts w:ascii="Aptos" w:hAnsi="Aptos"/>
                <w:color w:val="303236"/>
                <w:sz w:val="18"/>
              </w:rPr>
            </w:r>
          </w:p>
        </w:tc>
        <w:tc>
          <w:tcPr>
            <w:tcW w:type="dxa" w:w="2794"/>
          </w:tcPr>
          <w:p>
            <w:pPr>
              <w:spacing w:after="60" w:before="60" w:line="252" w:lineRule="auto"/>
            </w:pPr>
            <w:r>
              <w:rPr>
                <w:rFonts w:ascii="Aptos" w:hAnsi="Aptos"/>
                <w:color w:val="303236"/>
                <w:sz w:val="18"/>
              </w:rPr>
            </w:r>
          </w:p>
        </w:tc>
        <w:tc>
          <w:tcPr>
            <w:tcW w:type="dxa" w:w="2794"/>
          </w:tcPr>
          <w:p>
            <w:pPr>
              <w:spacing w:after="60" w:before="60" w:line="252" w:lineRule="auto"/>
            </w:pPr>
            <w:r>
              <w:rPr>
                <w:rFonts w:ascii="Aptos" w:hAnsi="Aptos"/>
                <w:color w:val="303236"/>
                <w:sz w:val="18"/>
              </w:rPr>
            </w:r>
          </w:p>
        </w:tc>
      </w:tr>
      <w:tr>
        <w:trPr>
          <w:cantSplit/>
        </w:trPr>
        <w:tc>
          <w:tcPr>
            <w:tcW w:type="dxa" w:w="2794"/>
            <w:shd w:fill="F5F0E7" w:val="clear"/>
          </w:tcPr>
          <w:p>
            <w:pPr>
              <w:spacing w:after="60" w:before="60" w:line="252" w:lineRule="auto"/>
            </w:pPr>
            <w:r>
              <w:rPr>
                <w:rFonts w:ascii="Aptos" w:hAnsi="Aptos"/>
                <w:color w:val="303236"/>
                <w:sz w:val="18"/>
              </w:rPr>
              <w:t>Implementation activity (separate from permission)</w:t>
            </w:r>
          </w:p>
        </w:tc>
        <w:tc>
          <w:tcPr>
            <w:tcW w:type="dxa" w:w="2794"/>
            <w:shd w:fill="F5F0E7" w:val="clear"/>
          </w:tcPr>
          <w:p>
            <w:pPr>
              <w:spacing w:after="60" w:before="60" w:line="252" w:lineRule="auto"/>
            </w:pPr>
            <w:r>
              <w:rPr>
                <w:rFonts w:ascii="Aptos" w:hAnsi="Aptos"/>
                <w:color w:val="303236"/>
                <w:sz w:val="18"/>
              </w:rPr>
              <w:t>Record retrospective testing, silent evaluation, pilot, rollout, or another implementation activity without treating it as the institutional decision state.</w:t>
            </w:r>
          </w:p>
        </w:tc>
        <w:tc>
          <w:tcPr>
            <w:tcW w:type="dxa" w:w="2794"/>
            <w:shd w:fill="F5F0E7" w:val="clear"/>
          </w:tcPr>
          <w:p>
            <w:pPr>
              <w:spacing w:after="60" w:before="60" w:line="252" w:lineRule="auto"/>
            </w:pPr>
            <w:r>
              <w:rPr>
                <w:rFonts w:ascii="Aptos" w:hAnsi="Aptos"/>
                <w:color w:val="303236"/>
                <w:sz w:val="18"/>
              </w:rPr>
            </w:r>
          </w:p>
        </w:tc>
        <w:tc>
          <w:tcPr>
            <w:tcW w:type="dxa" w:w="2794"/>
            <w:shd w:fill="F5F0E7" w:val="clear"/>
          </w:tcPr>
          <w:p>
            <w:pPr>
              <w:spacing w:after="60" w:before="60" w:line="252" w:lineRule="auto"/>
            </w:pPr>
            <w:r>
              <w:rPr>
                <w:rFonts w:ascii="Aptos" w:hAnsi="Aptos"/>
                <w:color w:val="303236"/>
                <w:sz w:val="18"/>
              </w:rPr>
            </w:r>
          </w:p>
        </w:tc>
        <w:tc>
          <w:tcPr>
            <w:tcW w:type="dxa" w:w="2794"/>
            <w:shd w:fill="F5F0E7" w:val="clear"/>
          </w:tcPr>
          <w:p>
            <w:pPr>
              <w:spacing w:after="60" w:before="60" w:line="252" w:lineRule="auto"/>
            </w:pPr>
            <w:r>
              <w:rPr>
                <w:rFonts w:ascii="Aptos" w:hAnsi="Aptos"/>
                <w:color w:val="303236"/>
                <w:sz w:val="18"/>
              </w:rPr>
            </w:r>
          </w:p>
        </w:tc>
      </w:tr>
      <w:tr>
        <w:trPr>
          <w:cantSplit/>
        </w:trPr>
        <w:tc>
          <w:tcPr>
            <w:tcW w:type="dxa" w:w="2794"/>
          </w:tcPr>
          <w:p>
            <w:pPr>
              <w:spacing w:after="60" w:before="60" w:line="252" w:lineRule="auto"/>
            </w:pPr>
            <w:r>
              <w:rPr>
                <w:rFonts w:ascii="Aptos" w:hAnsi="Aptos"/>
                <w:color w:val="303236"/>
                <w:sz w:val="18"/>
              </w:rPr>
              <w:t>Scope and effective date</w:t>
            </w:r>
          </w:p>
        </w:tc>
        <w:tc>
          <w:tcPr>
            <w:tcW w:type="dxa" w:w="2794"/>
          </w:tcPr>
          <w:p>
            <w:pPr>
              <w:spacing w:after="60" w:before="60" w:line="252" w:lineRule="auto"/>
            </w:pPr>
            <w:r>
              <w:rPr>
                <w:rFonts w:ascii="Aptos" w:hAnsi="Aptos"/>
                <w:color w:val="303236"/>
                <w:sz w:val="18"/>
              </w:rPr>
              <w:t>Authorized population, setting, users, functions, exclusions, start date, and expiry or review point</w:t>
            </w:r>
          </w:p>
        </w:tc>
        <w:tc>
          <w:tcPr>
            <w:tcW w:type="dxa" w:w="2794"/>
          </w:tcPr>
          <w:p>
            <w:pPr>
              <w:spacing w:after="60" w:before="60" w:line="252" w:lineRule="auto"/>
            </w:pPr>
            <w:r>
              <w:rPr>
                <w:rFonts w:ascii="Aptos" w:hAnsi="Aptos"/>
                <w:color w:val="303236"/>
                <w:sz w:val="18"/>
              </w:rPr>
            </w:r>
          </w:p>
        </w:tc>
        <w:tc>
          <w:tcPr>
            <w:tcW w:type="dxa" w:w="2794"/>
          </w:tcPr>
          <w:p>
            <w:pPr>
              <w:spacing w:after="60" w:before="60" w:line="252" w:lineRule="auto"/>
            </w:pPr>
            <w:r>
              <w:rPr>
                <w:rFonts w:ascii="Aptos" w:hAnsi="Aptos"/>
                <w:color w:val="303236"/>
                <w:sz w:val="18"/>
              </w:rPr>
            </w:r>
          </w:p>
        </w:tc>
        <w:tc>
          <w:tcPr>
            <w:tcW w:type="dxa" w:w="2794"/>
          </w:tcPr>
          <w:p>
            <w:pPr>
              <w:spacing w:after="60" w:before="60" w:line="252" w:lineRule="auto"/>
            </w:pPr>
            <w:r>
              <w:rPr>
                <w:rFonts w:ascii="Aptos" w:hAnsi="Aptos"/>
                <w:color w:val="303236"/>
                <w:sz w:val="18"/>
              </w:rPr>
            </w:r>
          </w:p>
        </w:tc>
      </w:tr>
      <w:tr>
        <w:trPr>
          <w:cantSplit/>
        </w:trPr>
        <w:tc>
          <w:tcPr>
            <w:tcW w:type="dxa" w:w="2794"/>
            <w:shd w:fill="F5F0E7" w:val="clear"/>
          </w:tcPr>
          <w:p>
            <w:pPr>
              <w:spacing w:after="60" w:before="60" w:line="252" w:lineRule="auto"/>
            </w:pPr>
            <w:r>
              <w:rPr>
                <w:rFonts w:ascii="Aptos" w:hAnsi="Aptos"/>
                <w:color w:val="303236"/>
                <w:sz w:val="18"/>
              </w:rPr>
              <w:t>Evidence basis and cut-off</w:t>
            </w:r>
          </w:p>
        </w:tc>
        <w:tc>
          <w:tcPr>
            <w:tcW w:type="dxa" w:w="2794"/>
            <w:shd w:fill="F5F0E7" w:val="clear"/>
          </w:tcPr>
          <w:p>
            <w:pPr>
              <w:spacing w:after="60" w:before="60" w:line="252" w:lineRule="auto"/>
            </w:pPr>
            <w:r>
              <w:rPr>
                <w:rFonts w:ascii="Aptos" w:hAnsi="Aptos"/>
                <w:color w:val="303236"/>
                <w:sz w:val="18"/>
              </w:rPr>
              <w:t>Version-matched technical, clinical, causal, economic, implementation, governance, quality, and contractual evidence</w:t>
            </w:r>
          </w:p>
        </w:tc>
        <w:tc>
          <w:tcPr>
            <w:tcW w:type="dxa" w:w="2794"/>
            <w:shd w:fill="F5F0E7" w:val="clear"/>
          </w:tcPr>
          <w:p>
            <w:pPr>
              <w:spacing w:after="60" w:before="60" w:line="252" w:lineRule="auto"/>
            </w:pPr>
            <w:r>
              <w:rPr>
                <w:rFonts w:ascii="Aptos" w:hAnsi="Aptos"/>
                <w:color w:val="303236"/>
                <w:sz w:val="18"/>
              </w:rPr>
            </w:r>
          </w:p>
        </w:tc>
        <w:tc>
          <w:tcPr>
            <w:tcW w:type="dxa" w:w="2794"/>
            <w:shd w:fill="F5F0E7" w:val="clear"/>
          </w:tcPr>
          <w:p>
            <w:pPr>
              <w:spacing w:after="60" w:before="60" w:line="252" w:lineRule="auto"/>
            </w:pPr>
            <w:r>
              <w:rPr>
                <w:rFonts w:ascii="Aptos" w:hAnsi="Aptos"/>
                <w:color w:val="303236"/>
                <w:sz w:val="18"/>
              </w:rPr>
            </w:r>
          </w:p>
        </w:tc>
        <w:tc>
          <w:tcPr>
            <w:tcW w:type="dxa" w:w="2794"/>
            <w:shd w:fill="F5F0E7" w:val="clear"/>
          </w:tcPr>
          <w:p>
            <w:pPr>
              <w:spacing w:after="60" w:before="60" w:line="252" w:lineRule="auto"/>
            </w:pPr>
            <w:r>
              <w:rPr>
                <w:rFonts w:ascii="Aptos" w:hAnsi="Aptos"/>
                <w:color w:val="303236"/>
                <w:sz w:val="18"/>
              </w:rPr>
            </w:r>
          </w:p>
        </w:tc>
      </w:tr>
      <w:tr>
        <w:trPr>
          <w:cantSplit/>
        </w:trPr>
        <w:tc>
          <w:tcPr>
            <w:tcW w:type="dxa" w:w="2794"/>
          </w:tcPr>
          <w:p>
            <w:pPr>
              <w:spacing w:after="60" w:before="60" w:line="252" w:lineRule="auto"/>
            </w:pPr>
            <w:r>
              <w:rPr>
                <w:rFonts w:ascii="Aptos" w:hAnsi="Aptos"/>
                <w:color w:val="303236"/>
                <w:sz w:val="18"/>
              </w:rPr>
              <w:t>Mandatory safeguards and conditions</w:t>
            </w:r>
          </w:p>
        </w:tc>
        <w:tc>
          <w:tcPr>
            <w:tcW w:type="dxa" w:w="2794"/>
          </w:tcPr>
          <w:p>
            <w:pPr>
              <w:spacing w:after="60" w:before="60" w:line="252" w:lineRule="auto"/>
            </w:pPr>
            <w:r>
              <w:rPr>
                <w:rFonts w:ascii="Aptos" w:hAnsi="Aptos"/>
                <w:color w:val="303236"/>
                <w:sz w:val="18"/>
              </w:rPr>
              <w:t>Non-compensatory safety, equity, privacy, cybersecurity, human-oversight, continuity, and legal conditions</w:t>
            </w:r>
          </w:p>
        </w:tc>
        <w:tc>
          <w:tcPr>
            <w:tcW w:type="dxa" w:w="2794"/>
          </w:tcPr>
          <w:p>
            <w:pPr>
              <w:spacing w:after="60" w:before="60" w:line="252" w:lineRule="auto"/>
            </w:pPr>
            <w:r>
              <w:rPr>
                <w:rFonts w:ascii="Aptos" w:hAnsi="Aptos"/>
                <w:color w:val="303236"/>
                <w:sz w:val="18"/>
              </w:rPr>
            </w:r>
          </w:p>
        </w:tc>
        <w:tc>
          <w:tcPr>
            <w:tcW w:type="dxa" w:w="2794"/>
          </w:tcPr>
          <w:p>
            <w:pPr>
              <w:spacing w:after="60" w:before="60" w:line="252" w:lineRule="auto"/>
            </w:pPr>
            <w:r>
              <w:rPr>
                <w:rFonts w:ascii="Aptos" w:hAnsi="Aptos"/>
                <w:color w:val="303236"/>
                <w:sz w:val="18"/>
              </w:rPr>
            </w:r>
          </w:p>
        </w:tc>
        <w:tc>
          <w:tcPr>
            <w:tcW w:type="dxa" w:w="2794"/>
          </w:tcPr>
          <w:p>
            <w:pPr>
              <w:spacing w:after="60" w:before="60" w:line="252" w:lineRule="auto"/>
            </w:pPr>
            <w:r>
              <w:rPr>
                <w:rFonts w:ascii="Aptos" w:hAnsi="Aptos"/>
                <w:color w:val="303236"/>
                <w:sz w:val="18"/>
              </w:rPr>
            </w:r>
          </w:p>
        </w:tc>
      </w:tr>
      <w:tr>
        <w:trPr>
          <w:cantSplit/>
        </w:trPr>
        <w:tc>
          <w:tcPr>
            <w:tcW w:type="dxa" w:w="2794"/>
            <w:shd w:fill="F5F0E7" w:val="clear"/>
          </w:tcPr>
          <w:p>
            <w:pPr>
              <w:spacing w:after="60" w:before="60" w:line="252" w:lineRule="auto"/>
            </w:pPr>
            <w:r>
              <w:rPr>
                <w:rFonts w:ascii="Aptos" w:hAnsi="Aptos"/>
                <w:color w:val="303236"/>
                <w:sz w:val="18"/>
              </w:rPr>
              <w:t>Unresolved uncertainty and monitoring</w:t>
            </w:r>
          </w:p>
        </w:tc>
        <w:tc>
          <w:tcPr>
            <w:tcW w:type="dxa" w:w="2794"/>
            <w:shd w:fill="F5F0E7" w:val="clear"/>
          </w:tcPr>
          <w:p>
            <w:pPr>
              <w:spacing w:after="60" w:before="60" w:line="252" w:lineRule="auto"/>
            </w:pPr>
            <w:r>
              <w:rPr>
                <w:rFonts w:ascii="Aptos" w:hAnsi="Aptos"/>
                <w:color w:val="303236"/>
                <w:sz w:val="18"/>
              </w:rPr>
              <w:t>Decision-critical uncertainty, signals, thresholds, owners, review cadence, and evidence-development commitments</w:t>
            </w:r>
          </w:p>
        </w:tc>
        <w:tc>
          <w:tcPr>
            <w:tcW w:type="dxa" w:w="2794"/>
            <w:shd w:fill="F5F0E7" w:val="clear"/>
          </w:tcPr>
          <w:p>
            <w:pPr>
              <w:spacing w:after="60" w:before="60" w:line="252" w:lineRule="auto"/>
            </w:pPr>
            <w:r>
              <w:rPr>
                <w:rFonts w:ascii="Aptos" w:hAnsi="Aptos"/>
                <w:color w:val="303236"/>
                <w:sz w:val="18"/>
              </w:rPr>
            </w:r>
          </w:p>
        </w:tc>
        <w:tc>
          <w:tcPr>
            <w:tcW w:type="dxa" w:w="2794"/>
            <w:shd w:fill="F5F0E7" w:val="clear"/>
          </w:tcPr>
          <w:p>
            <w:pPr>
              <w:spacing w:after="60" w:before="60" w:line="252" w:lineRule="auto"/>
            </w:pPr>
            <w:r>
              <w:rPr>
                <w:rFonts w:ascii="Aptos" w:hAnsi="Aptos"/>
                <w:color w:val="303236"/>
                <w:sz w:val="18"/>
              </w:rPr>
            </w:r>
          </w:p>
        </w:tc>
        <w:tc>
          <w:tcPr>
            <w:tcW w:type="dxa" w:w="2794"/>
            <w:shd w:fill="F5F0E7" w:val="clear"/>
          </w:tcPr>
          <w:p>
            <w:pPr>
              <w:spacing w:after="60" w:before="60" w:line="252" w:lineRule="auto"/>
            </w:pPr>
            <w:r>
              <w:rPr>
                <w:rFonts w:ascii="Aptos" w:hAnsi="Aptos"/>
                <w:color w:val="303236"/>
                <w:sz w:val="18"/>
              </w:rPr>
            </w:r>
          </w:p>
        </w:tc>
      </w:tr>
      <w:tr>
        <w:trPr>
          <w:cantSplit/>
        </w:trPr>
        <w:tc>
          <w:tcPr>
            <w:tcW w:type="dxa" w:w="2794"/>
          </w:tcPr>
          <w:p>
            <w:pPr>
              <w:spacing w:after="60" w:before="60" w:line="252" w:lineRule="auto"/>
            </w:pPr>
            <w:r>
              <w:rPr>
                <w:rFonts w:ascii="Aptos" w:hAnsi="Aptos"/>
                <w:color w:val="303236"/>
                <w:sz w:val="18"/>
              </w:rPr>
              <w:t>Transition and material-change triggers</w:t>
            </w:r>
          </w:p>
        </w:tc>
        <w:tc>
          <w:tcPr>
            <w:tcW w:type="dxa" w:w="2794"/>
          </w:tcPr>
          <w:p>
            <w:pPr>
              <w:spacing w:after="60" w:before="60" w:line="252" w:lineRule="auto"/>
            </w:pPr>
            <w:r>
              <w:rPr>
                <w:rFonts w:ascii="Aptos" w:hAnsi="Aptos"/>
                <w:color w:val="303236"/>
                <w:sz w:val="18"/>
              </w:rPr>
              <w:t>Incidents, drift, changed data, model, workflow or intended use; supplier notice; price; support; law; capacity; evidence; or comparator</w:t>
            </w:r>
          </w:p>
        </w:tc>
        <w:tc>
          <w:tcPr>
            <w:tcW w:type="dxa" w:w="2794"/>
          </w:tcPr>
          <w:p>
            <w:pPr>
              <w:spacing w:after="60" w:before="60" w:line="252" w:lineRule="auto"/>
            </w:pPr>
            <w:r>
              <w:rPr>
                <w:rFonts w:ascii="Aptos" w:hAnsi="Aptos"/>
                <w:color w:val="303236"/>
                <w:sz w:val="18"/>
              </w:rPr>
            </w:r>
          </w:p>
        </w:tc>
        <w:tc>
          <w:tcPr>
            <w:tcW w:type="dxa" w:w="2794"/>
          </w:tcPr>
          <w:p>
            <w:pPr>
              <w:spacing w:after="60" w:before="60" w:line="252" w:lineRule="auto"/>
            </w:pPr>
            <w:r>
              <w:rPr>
                <w:rFonts w:ascii="Aptos" w:hAnsi="Aptos"/>
                <w:color w:val="303236"/>
                <w:sz w:val="18"/>
              </w:rPr>
            </w:r>
          </w:p>
        </w:tc>
        <w:tc>
          <w:tcPr>
            <w:tcW w:type="dxa" w:w="2794"/>
          </w:tcPr>
          <w:p>
            <w:pPr>
              <w:spacing w:after="60" w:before="60" w:line="252" w:lineRule="auto"/>
            </w:pPr>
            <w:r>
              <w:rPr>
                <w:rFonts w:ascii="Aptos" w:hAnsi="Aptos"/>
                <w:color w:val="303236"/>
                <w:sz w:val="18"/>
              </w:rPr>
            </w:r>
          </w:p>
        </w:tc>
      </w:tr>
      <w:tr>
        <w:trPr>
          <w:cantSplit/>
        </w:trPr>
        <w:tc>
          <w:tcPr>
            <w:tcW w:type="dxa" w:w="2794"/>
            <w:shd w:fill="F5F0E7" w:val="clear"/>
          </w:tcPr>
          <w:p>
            <w:pPr>
              <w:spacing w:after="60" w:before="60" w:line="252" w:lineRule="auto"/>
            </w:pPr>
            <w:r>
              <w:rPr>
                <w:rFonts w:ascii="Aptos" w:hAnsi="Aptos"/>
                <w:color w:val="303236"/>
                <w:sz w:val="18"/>
              </w:rPr>
              <w:t>Decision history and next review</w:t>
            </w:r>
          </w:p>
        </w:tc>
        <w:tc>
          <w:tcPr>
            <w:tcW w:type="dxa" w:w="2794"/>
            <w:shd w:fill="F5F0E7" w:val="clear"/>
          </w:tcPr>
          <w:p>
            <w:pPr>
              <w:spacing w:after="60" w:before="60" w:line="252" w:lineRule="auto"/>
            </w:pPr>
            <w:r>
              <w:rPr>
                <w:rFonts w:ascii="Aptos" w:hAnsi="Aptos"/>
                <w:color w:val="303236"/>
                <w:sz w:val="18"/>
              </w:rPr>
              <w:t>Previous states, reasons for transitions, dissent, conditions, accountable authority, effective date, and next review</w:t>
            </w:r>
          </w:p>
        </w:tc>
        <w:tc>
          <w:tcPr>
            <w:tcW w:type="dxa" w:w="2794"/>
            <w:shd w:fill="F5F0E7" w:val="clear"/>
          </w:tcPr>
          <w:p>
            <w:pPr>
              <w:spacing w:after="60" w:before="60" w:line="252" w:lineRule="auto"/>
            </w:pPr>
            <w:r>
              <w:rPr>
                <w:rFonts w:ascii="Aptos" w:hAnsi="Aptos"/>
                <w:color w:val="303236"/>
                <w:sz w:val="18"/>
              </w:rPr>
            </w:r>
          </w:p>
        </w:tc>
        <w:tc>
          <w:tcPr>
            <w:tcW w:type="dxa" w:w="2794"/>
            <w:shd w:fill="F5F0E7" w:val="clear"/>
          </w:tcPr>
          <w:p>
            <w:pPr>
              <w:spacing w:after="60" w:before="60" w:line="252" w:lineRule="auto"/>
            </w:pPr>
            <w:r>
              <w:rPr>
                <w:rFonts w:ascii="Aptos" w:hAnsi="Aptos"/>
                <w:color w:val="303236"/>
                <w:sz w:val="18"/>
              </w:rPr>
            </w:r>
          </w:p>
        </w:tc>
        <w:tc>
          <w:tcPr>
            <w:tcW w:type="dxa" w:w="2794"/>
            <w:shd w:fill="F5F0E7" w:val="clear"/>
          </w:tcPr>
          <w:p>
            <w:pPr>
              <w:spacing w:after="60" w:before="60" w:line="252" w:lineRule="auto"/>
            </w:pPr>
            <w:r>
              <w:rPr>
                <w:rFonts w:ascii="Aptos" w:hAnsi="Aptos"/>
                <w:color w:val="303236"/>
                <w:sz w:val="18"/>
              </w:rPr>
            </w:r>
          </w:p>
        </w:tc>
      </w:tr>
    </w:tbl>
    <w:p>
      <w:r>
        <w:rPr>
          <w:rFonts w:ascii="Aptos" w:hAnsi="Aptos"/>
          <w:sz w:val="16"/>
        </w:rPr>
        <w:t>Local record control: owner __________________  evidence cut-off __________  next review __________  local version __________</w:t>
      </w:r>
    </w:p>
    <w:p>
      <w:pPr>
        <w:pageBreakBefore/>
        <w:spacing w:after="80"/>
      </w:pPr>
      <w:r>
        <w:rPr>
          <w:rFonts w:ascii="Aptos" w:hAnsi="Aptos"/>
          <w:color w:val="877567"/>
          <w:sz w:val="18"/>
        </w:rPr>
        <w:t>Part IV — Governance, Evidence, and Lifecycle Decision-Making</w:t>
      </w:r>
    </w:p>
    <w:p>
      <w:pPr>
        <w:pStyle w:val="Heading1"/>
      </w:pPr>
      <w:r>
        <w:t>AIHE-D03 — Post-Deployment Monitoring and Algorithmovigilance Cadence</w:t>
      </w:r>
    </w:p>
    <w:p>
      <w:pPr>
        <w:spacing w:after="80"/>
      </w:pPr>
      <w:r>
        <w:rPr>
          <w:color w:val="877567"/>
          <w:sz w:val="20"/>
        </w:rPr>
        <w:t>Chapter 12: Decision Architecture and Lifecycle Governance</w:t>
      </w:r>
    </w:p>
    <w:p>
      <w:r>
        <w:t>Define recurring and event-triggered surveillance across technical, workflow, safety, equity, economic, and contractual domains.</w:t>
      </w:r>
    </w:p>
    <w:p>
      <w:r>
        <w:rPr>
          <w:rFonts w:ascii="Aptos" w:hAnsi="Aptos"/>
          <w:sz w:val="17"/>
        </w:rPr>
        <w:t>Resource: AIHE-D03  |  V1.0  |  Aligned chapters: 5, 11, 12</w:t>
      </w:r>
    </w:p>
    <w:p>
      <w:r>
        <w:t>The cadences below are illustrative. Set local review frequency in proportion to consequence, uncertainty, rate of change, scale, reversibility, and institutional dependence. Scheduled review does not replace event-triggered reconsideration (book §12.4.1).</w:t>
      </w:r>
    </w:p>
    <w:tbl>
      <w:tblPr>
        <w:tblW w:type="auto" w:w="0"/>
        <w:tblLayout w:type="fixed"/>
        <w:tblLook w:firstColumn="1" w:firstRow="1" w:lastColumn="0" w:lastRow="0" w:noHBand="0" w:noVBand="1" w:val="04A0"/>
        <w:tblBorders>
          <w:top w:val="single" w:sz="4" w:color="D9D0C2"/>
          <w:left w:val="single" w:sz="4" w:color="D9D0C2"/>
          <w:bottom w:val="single" w:sz="4" w:color="D9D0C2"/>
          <w:right w:val="single" w:sz="4" w:color="D9D0C2"/>
          <w:insideH w:val="single" w:sz="4" w:color="D9D0C2"/>
          <w:insideV w:val="single" w:sz="4" w:color="D9D0C2"/>
        </w:tblBorders>
        <w:tblCellMar>
          <w:top w:w="80" w:type="dxa"/>
          <w:left w:w="80" w:type="dxa"/>
          <w:bottom w:w="80" w:type="dxa"/>
          <w:right w:w="80" w:type="dxa"/>
        </w:tblCellMar>
      </w:tblPr>
      <w:tblGrid>
        <w:gridCol w:w="2818"/>
        <w:gridCol w:w="4411"/>
        <w:gridCol w:w="2451"/>
        <w:gridCol w:w="4288"/>
      </w:tblGrid>
      <w:tr>
        <w:trPr>
          <w:tblHeader/>
          <w:cantSplit/>
        </w:trPr>
        <w:tc>
          <w:tcPr>
            <w:tcW w:type="dxa" w:w="2818"/>
            <w:shd w:fill="6B2230" w:val="clear"/>
          </w:tcPr>
          <w:p>
            <w:pPr>
              <w:spacing w:after="60" w:before="60"/>
            </w:pPr>
            <w:r>
              <w:rPr>
                <w:rFonts w:ascii="Aptos" w:hAnsi="Aptos"/>
                <w:b/>
                <w:color w:val="FFFFFF"/>
                <w:sz w:val="18"/>
              </w:rPr>
              <w:t>Frequency</w:t>
            </w:r>
          </w:p>
        </w:tc>
        <w:tc>
          <w:tcPr>
            <w:tcW w:type="dxa" w:w="4411"/>
            <w:shd w:fill="6B2230" w:val="clear"/>
          </w:tcPr>
          <w:p>
            <w:pPr>
              <w:spacing w:after="60" w:before="60"/>
            </w:pPr>
            <w:r>
              <w:rPr>
                <w:rFonts w:ascii="Aptos" w:hAnsi="Aptos"/>
                <w:b/>
                <w:color w:val="FFFFFF"/>
                <w:sz w:val="18"/>
              </w:rPr>
              <w:t>Purpose</w:t>
            </w:r>
          </w:p>
        </w:tc>
        <w:tc>
          <w:tcPr>
            <w:tcW w:type="dxa" w:w="2451"/>
            <w:shd w:fill="6B2230" w:val="clear"/>
          </w:tcPr>
          <w:p>
            <w:pPr>
              <w:spacing w:after="60" w:before="60"/>
            </w:pPr>
            <w:r>
              <w:rPr>
                <w:rFonts w:ascii="Aptos" w:hAnsi="Aptos"/>
                <w:b/>
                <w:color w:val="FFFFFF"/>
                <w:sz w:val="18"/>
              </w:rPr>
              <w:t>Minimum review content</w:t>
            </w:r>
          </w:p>
        </w:tc>
        <w:tc>
          <w:tcPr>
            <w:tcW w:type="dxa" w:w="4288"/>
            <w:shd w:fill="6B2230" w:val="clear"/>
          </w:tcPr>
          <w:p>
            <w:pPr>
              <w:spacing w:after="60" w:before="60"/>
            </w:pPr>
            <w:r>
              <w:rPr>
                <w:rFonts w:ascii="Aptos" w:hAnsi="Aptos"/>
                <w:b/>
                <w:color w:val="FFFFFF"/>
                <w:sz w:val="18"/>
              </w:rPr>
              <w:t>Owner or forum</w:t>
            </w:r>
          </w:p>
        </w:tc>
      </w:tr>
      <w:tr>
        <w:trPr>
          <w:cantSplit/>
        </w:trPr>
        <w:tc>
          <w:tcPr>
            <w:tcW w:type="dxa" w:w="2818"/>
            <w:shd w:fill="F5F0E7" w:val="clear"/>
          </w:tcPr>
          <w:p>
            <w:pPr>
              <w:spacing w:after="60" w:before="60" w:line="252" w:lineRule="auto"/>
            </w:pPr>
            <w:r>
              <w:rPr>
                <w:rFonts w:ascii="Aptos" w:hAnsi="Aptos"/>
                <w:color w:val="303236"/>
                <w:sz w:val="18"/>
              </w:rPr>
              <w:t>Continuous or daily</w:t>
            </w:r>
          </w:p>
        </w:tc>
        <w:tc>
          <w:tcPr>
            <w:tcW w:type="dxa" w:w="4411"/>
            <w:shd w:fill="F5F0E7" w:val="clear"/>
          </w:tcPr>
          <w:p>
            <w:pPr>
              <w:spacing w:after="60" w:before="60" w:line="252" w:lineRule="auto"/>
            </w:pPr>
            <w:r>
              <w:rPr>
                <w:rFonts w:ascii="Aptos" w:hAnsi="Aptos"/>
                <w:color w:val="303236"/>
                <w:sz w:val="18"/>
              </w:rPr>
              <w:t>Technical integrity and immediate service protection</w:t>
            </w:r>
          </w:p>
        </w:tc>
        <w:tc>
          <w:tcPr>
            <w:tcW w:type="dxa" w:w="2451"/>
            <w:shd w:fill="F5F0E7" w:val="clear"/>
          </w:tcPr>
          <w:p>
            <w:pPr>
              <w:spacing w:after="60" w:before="60" w:line="252" w:lineRule="auto"/>
            </w:pPr>
            <w:r>
              <w:rPr>
                <w:rFonts w:ascii="Aptos" w:hAnsi="Aptos"/>
                <w:color w:val="303236"/>
                <w:sz w:val="18"/>
              </w:rPr>
              <w:t>Availability, latency, interfaces, input completeness, deployed version, logging, cybersecurity alerts, and fallback</w:t>
            </w:r>
          </w:p>
        </w:tc>
        <w:tc>
          <w:tcPr>
            <w:tcW w:type="dxa" w:w="4288"/>
            <w:shd w:fill="F5F0E7" w:val="clear"/>
          </w:tcPr>
          <w:p>
            <w:pPr>
              <w:spacing w:after="60" w:before="60" w:line="252" w:lineRule="auto"/>
            </w:pPr>
            <w:r>
              <w:rPr>
                <w:rFonts w:ascii="Aptos" w:hAnsi="Aptos"/>
                <w:color w:val="303236"/>
                <w:sz w:val="18"/>
              </w:rPr>
              <w:t>Technical operations and service owner</w:t>
            </w:r>
          </w:p>
        </w:tc>
      </w:tr>
      <w:tr>
        <w:trPr>
          <w:cantSplit/>
        </w:trPr>
        <w:tc>
          <w:tcPr>
            <w:tcW w:type="dxa" w:w="2818"/>
          </w:tcPr>
          <w:p>
            <w:pPr>
              <w:spacing w:after="60" w:before="60" w:line="252" w:lineRule="auto"/>
            </w:pPr>
            <w:r>
              <w:rPr>
                <w:rFonts w:ascii="Aptos" w:hAnsi="Aptos"/>
                <w:color w:val="303236"/>
                <w:sz w:val="18"/>
              </w:rPr>
              <w:t>Weekly during pilots or high-consequence use</w:t>
            </w:r>
          </w:p>
        </w:tc>
        <w:tc>
          <w:tcPr>
            <w:tcW w:type="dxa" w:w="4411"/>
          </w:tcPr>
          <w:p>
            <w:pPr>
              <w:spacing w:after="60" w:before="60" w:line="252" w:lineRule="auto"/>
            </w:pPr>
            <w:r>
              <w:rPr>
                <w:rFonts w:ascii="Aptos" w:hAnsi="Aptos"/>
                <w:color w:val="303236"/>
                <w:sz w:val="18"/>
              </w:rPr>
              <w:t>Workflow and operational review</w:t>
            </w:r>
          </w:p>
        </w:tc>
        <w:tc>
          <w:tcPr>
            <w:tcW w:type="dxa" w:w="2451"/>
          </w:tcPr>
          <w:p>
            <w:pPr>
              <w:spacing w:after="60" w:before="60" w:line="252" w:lineRule="auto"/>
            </w:pPr>
            <w:r>
              <w:rPr>
                <w:rFonts w:ascii="Aptos" w:hAnsi="Aptos"/>
                <w:color w:val="303236"/>
                <w:sz w:val="18"/>
              </w:rPr>
              <w:t>Output volume, action, overrides, delays, workarounds, review burden, near misses, and downstream capacity</w:t>
            </w:r>
          </w:p>
        </w:tc>
        <w:tc>
          <w:tcPr>
            <w:tcW w:type="dxa" w:w="4288"/>
          </w:tcPr>
          <w:p>
            <w:pPr>
              <w:spacing w:after="60" w:before="60" w:line="252" w:lineRule="auto"/>
            </w:pPr>
            <w:r>
              <w:rPr>
                <w:rFonts w:ascii="Aptos" w:hAnsi="Aptos"/>
                <w:color w:val="303236"/>
                <w:sz w:val="18"/>
              </w:rPr>
              <w:t>Clinical and operational leads</w:t>
            </w:r>
          </w:p>
        </w:tc>
      </w:tr>
      <w:tr>
        <w:trPr>
          <w:cantSplit/>
        </w:trPr>
        <w:tc>
          <w:tcPr>
            <w:tcW w:type="dxa" w:w="2818"/>
            <w:shd w:fill="F5F0E7" w:val="clear"/>
          </w:tcPr>
          <w:p>
            <w:pPr>
              <w:spacing w:after="60" w:before="60" w:line="252" w:lineRule="auto"/>
            </w:pPr>
            <w:r>
              <w:rPr>
                <w:rFonts w:ascii="Aptos" w:hAnsi="Aptos"/>
                <w:color w:val="303236"/>
                <w:sz w:val="18"/>
              </w:rPr>
              <w:t>Monthly</w:t>
            </w:r>
          </w:p>
        </w:tc>
        <w:tc>
          <w:tcPr>
            <w:tcW w:type="dxa" w:w="4411"/>
            <w:shd w:fill="F5F0E7" w:val="clear"/>
          </w:tcPr>
          <w:p>
            <w:pPr>
              <w:spacing w:after="60" w:before="60" w:line="252" w:lineRule="auto"/>
            </w:pPr>
            <w:r>
              <w:rPr>
                <w:rFonts w:ascii="Aptos" w:hAnsi="Aptos"/>
                <w:color w:val="303236"/>
                <w:sz w:val="18"/>
              </w:rPr>
              <w:t>Multidisciplinary safety and performance review</w:t>
            </w:r>
          </w:p>
        </w:tc>
        <w:tc>
          <w:tcPr>
            <w:tcW w:type="dxa" w:w="2451"/>
            <w:shd w:fill="F5F0E7" w:val="clear"/>
          </w:tcPr>
          <w:p>
            <w:pPr>
              <w:spacing w:after="60" w:before="60" w:line="252" w:lineRule="auto"/>
            </w:pPr>
            <w:r>
              <w:rPr>
                <w:rFonts w:ascii="Aptos" w:hAnsi="Aptos"/>
                <w:color w:val="303236"/>
                <w:sz w:val="18"/>
              </w:rPr>
              <w:t>Technical and human–AI performance, outcomes, complaints, incidents, vendor notices, training, and corrective actions</w:t>
            </w:r>
          </w:p>
        </w:tc>
        <w:tc>
          <w:tcPr>
            <w:tcW w:type="dxa" w:w="4288"/>
            <w:shd w:fill="F5F0E7" w:val="clear"/>
          </w:tcPr>
          <w:p>
            <w:pPr>
              <w:spacing w:after="60" w:before="60" w:line="252" w:lineRule="auto"/>
            </w:pPr>
            <w:r>
              <w:rPr>
                <w:rFonts w:ascii="Aptos" w:hAnsi="Aptos"/>
                <w:color w:val="303236"/>
                <w:sz w:val="18"/>
              </w:rPr>
              <w:t>Quality and AI-governance forum</w:t>
            </w:r>
          </w:p>
        </w:tc>
      </w:tr>
      <w:tr>
        <w:trPr>
          <w:cantSplit/>
        </w:trPr>
        <w:tc>
          <w:tcPr>
            <w:tcW w:type="dxa" w:w="2818"/>
          </w:tcPr>
          <w:p>
            <w:pPr>
              <w:spacing w:after="60" w:before="60" w:line="252" w:lineRule="auto"/>
            </w:pPr>
            <w:r>
              <w:rPr>
                <w:rFonts w:ascii="Aptos" w:hAnsi="Aptos"/>
                <w:color w:val="303236"/>
                <w:sz w:val="18"/>
              </w:rPr>
              <w:t>Quarterly or semi-annually</w:t>
            </w:r>
          </w:p>
        </w:tc>
        <w:tc>
          <w:tcPr>
            <w:tcW w:type="dxa" w:w="4411"/>
          </w:tcPr>
          <w:p>
            <w:pPr>
              <w:spacing w:after="60" w:before="60" w:line="252" w:lineRule="auto"/>
            </w:pPr>
            <w:r>
              <w:rPr>
                <w:rFonts w:ascii="Aptos" w:hAnsi="Aptos"/>
                <w:color w:val="303236"/>
                <w:sz w:val="18"/>
              </w:rPr>
              <w:t>Distributional, workforce, and economic review</w:t>
            </w:r>
          </w:p>
        </w:tc>
        <w:tc>
          <w:tcPr>
            <w:tcW w:type="dxa" w:w="2451"/>
          </w:tcPr>
          <w:p>
            <w:pPr>
              <w:spacing w:after="60" w:before="60" w:line="252" w:lineRule="auto"/>
            </w:pPr>
            <w:r>
              <w:rPr>
                <w:rFonts w:ascii="Aptos" w:hAnsi="Aptos"/>
                <w:color w:val="303236"/>
                <w:sz w:val="18"/>
              </w:rPr>
              <w:t>Subgroups, access, workload, adoption, lifecycle cost, benefit realization, budget impact, equity, and trust</w:t>
            </w:r>
          </w:p>
        </w:tc>
        <w:tc>
          <w:tcPr>
            <w:tcW w:type="dxa" w:w="4288"/>
          </w:tcPr>
          <w:p>
            <w:pPr>
              <w:spacing w:after="60" w:before="60" w:line="252" w:lineRule="auto"/>
            </w:pPr>
            <w:r>
              <w:rPr>
                <w:rFonts w:ascii="Aptos" w:hAnsi="Aptos"/>
                <w:color w:val="303236"/>
                <w:sz w:val="18"/>
              </w:rPr>
              <w:t>Economics, quality, equity, workforce, and governance leads</w:t>
            </w:r>
          </w:p>
        </w:tc>
      </w:tr>
      <w:tr>
        <w:trPr>
          <w:cantSplit/>
        </w:trPr>
        <w:tc>
          <w:tcPr>
            <w:tcW w:type="dxa" w:w="2818"/>
            <w:shd w:fill="F5F0E7" w:val="clear"/>
          </w:tcPr>
          <w:p>
            <w:pPr>
              <w:spacing w:after="60" w:before="60" w:line="252" w:lineRule="auto"/>
            </w:pPr>
            <w:r>
              <w:rPr>
                <w:rFonts w:ascii="Aptos" w:hAnsi="Aptos"/>
                <w:color w:val="303236"/>
                <w:sz w:val="18"/>
              </w:rPr>
              <w:t>Annually</w:t>
            </w:r>
          </w:p>
        </w:tc>
        <w:tc>
          <w:tcPr>
            <w:tcW w:type="dxa" w:w="4411"/>
            <w:shd w:fill="F5F0E7" w:val="clear"/>
          </w:tcPr>
          <w:p>
            <w:pPr>
              <w:spacing w:after="60" w:before="60" w:line="252" w:lineRule="auto"/>
            </w:pPr>
            <w:r>
              <w:rPr>
                <w:rFonts w:ascii="Aptos" w:hAnsi="Aptos"/>
                <w:color w:val="303236"/>
                <w:sz w:val="18"/>
              </w:rPr>
              <w:t>Formal renewal, restriction, replacement, or retirement</w:t>
            </w:r>
          </w:p>
        </w:tc>
        <w:tc>
          <w:tcPr>
            <w:tcW w:type="dxa" w:w="2451"/>
            <w:shd w:fill="F5F0E7" w:val="clear"/>
          </w:tcPr>
          <w:p>
            <w:pPr>
              <w:spacing w:after="60" w:before="60" w:line="252" w:lineRule="auto"/>
            </w:pPr>
            <w:r>
              <w:rPr>
                <w:rFonts w:ascii="Aptos" w:hAnsi="Aptos"/>
                <w:color w:val="303236"/>
                <w:sz w:val="18"/>
              </w:rPr>
              <w:t>Current intended use, evidence, value, residual risk, contract, updates, alternatives, monitoring capacity, and exit readiness</w:t>
            </w:r>
          </w:p>
        </w:tc>
        <w:tc>
          <w:tcPr>
            <w:tcW w:type="dxa" w:w="4288"/>
            <w:shd w:fill="F5F0E7" w:val="clear"/>
          </w:tcPr>
          <w:p>
            <w:pPr>
              <w:spacing w:after="60" w:before="60" w:line="252" w:lineRule="auto"/>
            </w:pPr>
            <w:r>
              <w:rPr>
                <w:rFonts w:ascii="Aptos" w:hAnsi="Aptos"/>
                <w:color w:val="303236"/>
                <w:sz w:val="18"/>
              </w:rPr>
              <w:t>Executive decision authority</w:t>
            </w:r>
          </w:p>
        </w:tc>
      </w:tr>
      <w:tr>
        <w:trPr>
          <w:cantSplit/>
        </w:trPr>
        <w:tc>
          <w:tcPr>
            <w:tcW w:type="dxa" w:w="2818"/>
          </w:tcPr>
          <w:p>
            <w:pPr>
              <w:spacing w:after="60" w:before="60" w:line="252" w:lineRule="auto"/>
            </w:pPr>
            <w:r>
              <w:rPr>
                <w:rFonts w:ascii="Aptos" w:hAnsi="Aptos"/>
                <w:color w:val="303236"/>
                <w:sz w:val="18"/>
              </w:rPr>
              <w:t>Event triggered</w:t>
            </w:r>
          </w:p>
        </w:tc>
        <w:tc>
          <w:tcPr>
            <w:tcW w:type="dxa" w:w="4411"/>
          </w:tcPr>
          <w:p>
            <w:pPr>
              <w:spacing w:after="60" w:before="60" w:line="252" w:lineRule="auto"/>
            </w:pPr>
            <w:r>
              <w:rPr>
                <w:rFonts w:ascii="Aptos" w:hAnsi="Aptos"/>
                <w:color w:val="303236"/>
                <w:sz w:val="18"/>
              </w:rPr>
              <w:t>Material change or serious incident review</w:t>
            </w:r>
          </w:p>
        </w:tc>
        <w:tc>
          <w:tcPr>
            <w:tcW w:type="dxa" w:w="2451"/>
          </w:tcPr>
          <w:p>
            <w:pPr>
              <w:spacing w:after="60" w:before="60" w:line="252" w:lineRule="auto"/>
            </w:pPr>
            <w:r>
              <w:rPr>
                <w:rFonts w:ascii="Aptos" w:hAnsi="Aptos"/>
                <w:color w:val="303236"/>
                <w:sz w:val="18"/>
              </w:rPr>
              <w:t>Model, data, threshold, interface, workflow, vendor, security, policy, population, price, or serious performance change</w:t>
            </w:r>
          </w:p>
        </w:tc>
        <w:tc>
          <w:tcPr>
            <w:tcW w:type="dxa" w:w="4288"/>
          </w:tcPr>
          <w:p>
            <w:pPr>
              <w:spacing w:after="60" w:before="60" w:line="252" w:lineRule="auto"/>
            </w:pPr>
            <w:r>
              <w:rPr>
                <w:rFonts w:ascii="Aptos" w:hAnsi="Aptos"/>
                <w:color w:val="303236"/>
                <w:sz w:val="18"/>
              </w:rPr>
              <w:t>Named incident or change authority</w:t>
            </w:r>
          </w:p>
        </w:tc>
      </w:tr>
    </w:tbl>
    <w:p>
      <w:r>
        <w:rPr>
          <w:rFonts w:ascii="Aptos" w:hAnsi="Aptos"/>
          <w:sz w:val="16"/>
        </w:rPr>
        <w:t>Local record control: owner __________________  evidence cut-off __________  next review __________  local version __________</w:t>
      </w:r>
    </w:p>
    <w:p>
      <w:pPr>
        <w:pageBreakBefore/>
        <w:spacing w:after="80"/>
      </w:pPr>
      <w:r>
        <w:rPr>
          <w:rFonts w:ascii="Aptos" w:hAnsi="Aptos"/>
          <w:color w:val="877567"/>
          <w:sz w:val="18"/>
        </w:rPr>
        <w:t>Part IV — Governance, Evidence, and Lifecycle Decision-Making</w:t>
      </w:r>
    </w:p>
    <w:p>
      <w:pPr>
        <w:pStyle w:val="Heading1"/>
      </w:pPr>
      <w:r>
        <w:t>AIHE-D04 — Incident Classification and Reconstruction</w:t>
      </w:r>
    </w:p>
    <w:p>
      <w:pPr>
        <w:spacing w:after="80"/>
      </w:pPr>
      <w:r>
        <w:rPr>
          <w:color w:val="877567"/>
          <w:sz w:val="20"/>
        </w:rPr>
        <w:t>Chapter 12: Decision Architecture and Lifecycle Governance</w:t>
      </w:r>
    </w:p>
    <w:p>
      <w:r>
        <w:t>Reconstruct technical, clinical, workflow, privacy, cybersecurity, equity, communication, and economic incidents consistently.</w:t>
      </w:r>
    </w:p>
    <w:p>
      <w:r>
        <w:rPr>
          <w:rFonts w:ascii="Aptos" w:hAnsi="Aptos"/>
          <w:sz w:val="17"/>
        </w:rPr>
        <w:t>Resource: AIHE-D04  |  V1.0  |  Aligned chapters: 5, 10, 11, 12</w:t>
      </w:r>
    </w:p>
    <w:p>
      <w:r>
        <w:t>Complete the record with the people who own the evidence, workflow, budget, safeguards, and follow-up action. Distinguish documented evidence from assumptions and planned evidence collection. Record the exact intervention and version, accountable owner, decision conditions, evidence cut-off, review date, and trigger events.</w:t>
      </w:r>
    </w:p>
    <w:tbl>
      <w:tblPr>
        <w:tblW w:type="auto" w:w="0"/>
        <w:tblLayout w:type="fixed"/>
        <w:tblLook w:firstColumn="1" w:firstRow="1" w:lastColumn="0" w:lastRow="0" w:noHBand="0" w:noVBand="1" w:val="04A0"/>
        <w:tblBorders>
          <w:top w:val="single" w:sz="4" w:color="D9D0C2"/>
          <w:left w:val="single" w:sz="4" w:color="D9D0C2"/>
          <w:bottom w:val="single" w:sz="4" w:color="D9D0C2"/>
          <w:right w:val="single" w:sz="4" w:color="D9D0C2"/>
          <w:insideH w:val="single" w:sz="4" w:color="D9D0C2"/>
          <w:insideV w:val="single" w:sz="4" w:color="D9D0C2"/>
        </w:tblBorders>
        <w:tblCellMar>
          <w:top w:w="80" w:type="dxa"/>
          <w:left w:w="80" w:type="dxa"/>
          <w:bottom w:w="80" w:type="dxa"/>
          <w:right w:w="80" w:type="dxa"/>
        </w:tblCellMar>
      </w:tblPr>
      <w:tblGrid>
        <w:gridCol w:w="3175"/>
        <w:gridCol w:w="6349"/>
        <w:gridCol w:w="4444"/>
      </w:tblGrid>
      <w:tr>
        <w:trPr>
          <w:tblHeader/>
          <w:cantSplit/>
        </w:trPr>
        <w:tc>
          <w:tcPr>
            <w:tcW w:type="dxa" w:w="3175"/>
            <w:shd w:fill="6B2230" w:val="clear"/>
          </w:tcPr>
          <w:p>
            <w:pPr>
              <w:spacing w:after="60" w:before="60"/>
            </w:pPr>
            <w:r>
              <w:rPr>
                <w:rFonts w:ascii="Aptos" w:hAnsi="Aptos"/>
                <w:b/>
                <w:color w:val="FFFFFF"/>
                <w:sz w:val="18"/>
              </w:rPr>
              <w:t>Field</w:t>
            </w:r>
          </w:p>
        </w:tc>
        <w:tc>
          <w:tcPr>
            <w:tcW w:type="dxa" w:w="6349"/>
            <w:shd w:fill="6B2230" w:val="clear"/>
          </w:tcPr>
          <w:p>
            <w:pPr>
              <w:spacing w:after="60" w:before="60"/>
            </w:pPr>
            <w:r>
              <w:rPr>
                <w:rFonts w:ascii="Aptos" w:hAnsi="Aptos"/>
                <w:b/>
                <w:color w:val="FFFFFF"/>
                <w:sz w:val="18"/>
              </w:rPr>
              <w:t>Guidance</w:t>
            </w:r>
          </w:p>
        </w:tc>
        <w:tc>
          <w:tcPr>
            <w:tcW w:type="dxa" w:w="4444"/>
            <w:shd w:fill="6B2230" w:val="clear"/>
          </w:tcPr>
          <w:p>
            <w:pPr>
              <w:spacing w:after="60" w:before="60"/>
            </w:pPr>
            <w:r>
              <w:rPr>
                <w:rFonts w:ascii="Aptos" w:hAnsi="Aptos"/>
                <w:b/>
                <w:color w:val="FFFFFF"/>
                <w:sz w:val="18"/>
              </w:rPr>
              <w:t>Institutional response</w:t>
            </w:r>
          </w:p>
        </w:tc>
      </w:tr>
      <w:tr>
        <w:trPr>
          <w:cantSplit/>
        </w:trPr>
        <w:tc>
          <w:tcPr>
            <w:tcW w:type="dxa" w:w="3175"/>
            <w:shd w:fill="F5F0E7" w:val="clear"/>
          </w:tcPr>
          <w:p>
            <w:pPr>
              <w:spacing w:after="60" w:before="60" w:line="252" w:lineRule="auto"/>
            </w:pPr>
            <w:r>
              <w:rPr>
                <w:rFonts w:ascii="Aptos" w:hAnsi="Aptos"/>
                <w:color w:val="303236"/>
                <w:sz w:val="18"/>
              </w:rPr>
              <w:t>Event, detection, and category</w:t>
            </w:r>
          </w:p>
        </w:tc>
        <w:tc>
          <w:tcPr>
            <w:tcW w:type="dxa" w:w="6349"/>
            <w:shd w:fill="F5F0E7" w:val="clear"/>
          </w:tcPr>
          <w:p>
            <w:pPr>
              <w:spacing w:after="60" w:before="60" w:line="252" w:lineRule="auto"/>
            </w:pPr>
            <w:r>
              <w:rPr>
                <w:rFonts w:ascii="Aptos" w:hAnsi="Aptos"/>
                <w:color w:val="303236"/>
                <w:sz w:val="18"/>
              </w:rPr>
              <w:t>Describe the event or pattern, who detected it, and how it was classified.</w:t>
            </w:r>
          </w:p>
        </w:tc>
        <w:tc>
          <w:tcPr>
            <w:tcW w:type="dxa" w:w="4444"/>
            <w:shd w:fill="F5F0E7" w:val="clear"/>
          </w:tcPr>
          <w:p>
            <w:pPr>
              <w:spacing w:after="60" w:before="60" w:line="252" w:lineRule="auto"/>
            </w:pPr>
            <w:r>
              <w:rPr>
                <w:rFonts w:ascii="Aptos" w:hAnsi="Aptos"/>
                <w:color w:val="303236"/>
                <w:sz w:val="18"/>
              </w:rPr>
            </w:r>
          </w:p>
        </w:tc>
      </w:tr>
      <w:tr>
        <w:trPr>
          <w:cantSplit/>
        </w:trPr>
        <w:tc>
          <w:tcPr>
            <w:tcW w:type="dxa" w:w="3175"/>
          </w:tcPr>
          <w:p>
            <w:pPr>
              <w:spacing w:after="60" w:before="60" w:line="252" w:lineRule="auto"/>
            </w:pPr>
            <w:r>
              <w:rPr>
                <w:rFonts w:ascii="Aptos" w:hAnsi="Aptos"/>
                <w:color w:val="303236"/>
                <w:sz w:val="18"/>
              </w:rPr>
              <w:t>Data and provenance</w:t>
            </w:r>
          </w:p>
        </w:tc>
        <w:tc>
          <w:tcPr>
            <w:tcW w:type="dxa" w:w="6349"/>
          </w:tcPr>
          <w:p>
            <w:pPr>
              <w:spacing w:after="60" w:before="60" w:line="252" w:lineRule="auto"/>
            </w:pPr>
            <w:r>
              <w:rPr>
                <w:rFonts w:ascii="Aptos" w:hAnsi="Aptos"/>
                <w:color w:val="303236"/>
                <w:sz w:val="18"/>
              </w:rPr>
              <w:t>Preserve available data, source, timestamp, transformation, missingness, quality state, and recent source changes.</w:t>
            </w:r>
          </w:p>
        </w:tc>
        <w:tc>
          <w:tcPr>
            <w:tcW w:type="dxa" w:w="4444"/>
          </w:tcPr>
          <w:p>
            <w:pPr>
              <w:spacing w:after="60" w:before="60" w:line="252" w:lineRule="auto"/>
            </w:pPr>
            <w:r>
              <w:rPr>
                <w:rFonts w:ascii="Aptos" w:hAnsi="Aptos"/>
                <w:color w:val="303236"/>
                <w:sz w:val="18"/>
              </w:rPr>
            </w:r>
          </w:p>
        </w:tc>
      </w:tr>
      <w:tr>
        <w:trPr>
          <w:cantSplit/>
        </w:trPr>
        <w:tc>
          <w:tcPr>
            <w:tcW w:type="dxa" w:w="3175"/>
            <w:shd w:fill="F5F0E7" w:val="clear"/>
          </w:tcPr>
          <w:p>
            <w:pPr>
              <w:spacing w:after="60" w:before="60" w:line="252" w:lineRule="auto"/>
            </w:pPr>
            <w:r>
              <w:rPr>
                <w:rFonts w:ascii="Aptos" w:hAnsi="Aptos"/>
                <w:color w:val="303236"/>
                <w:sz w:val="18"/>
              </w:rPr>
              <w:t>System and configuration</w:t>
            </w:r>
          </w:p>
        </w:tc>
        <w:tc>
          <w:tcPr>
            <w:tcW w:type="dxa" w:w="6349"/>
            <w:shd w:fill="F5F0E7" w:val="clear"/>
          </w:tcPr>
          <w:p>
            <w:pPr>
              <w:spacing w:after="60" w:before="60" w:line="252" w:lineRule="auto"/>
            </w:pPr>
            <w:r>
              <w:rPr>
                <w:rFonts w:ascii="Aptos" w:hAnsi="Aptos"/>
                <w:color w:val="303236"/>
                <w:sz w:val="18"/>
              </w:rPr>
              <w:t>Record model, software, threshold, interface, prompt, template, retrieval, knowledge source, and hosting versions.</w:t>
            </w:r>
          </w:p>
        </w:tc>
        <w:tc>
          <w:tcPr>
            <w:tcW w:type="dxa" w:w="4444"/>
            <w:shd w:fill="F5F0E7" w:val="clear"/>
          </w:tcPr>
          <w:p>
            <w:pPr>
              <w:spacing w:after="60" w:before="60" w:line="252" w:lineRule="auto"/>
            </w:pPr>
            <w:r>
              <w:rPr>
                <w:rFonts w:ascii="Aptos" w:hAnsi="Aptos"/>
                <w:color w:val="303236"/>
                <w:sz w:val="18"/>
              </w:rPr>
            </w:r>
          </w:p>
        </w:tc>
      </w:tr>
      <w:tr>
        <w:trPr>
          <w:cantSplit/>
        </w:trPr>
        <w:tc>
          <w:tcPr>
            <w:tcW w:type="dxa" w:w="3175"/>
          </w:tcPr>
          <w:p>
            <w:pPr>
              <w:spacing w:after="60" w:before="60" w:line="252" w:lineRule="auto"/>
            </w:pPr>
            <w:r>
              <w:rPr>
                <w:rFonts w:ascii="Aptos" w:hAnsi="Aptos"/>
                <w:color w:val="303236"/>
                <w:sz w:val="18"/>
              </w:rPr>
              <w:t>AI output and uncertainty</w:t>
            </w:r>
          </w:p>
        </w:tc>
        <w:tc>
          <w:tcPr>
            <w:tcW w:type="dxa" w:w="6349"/>
          </w:tcPr>
          <w:p>
            <w:pPr>
              <w:spacing w:after="60" w:before="60" w:line="252" w:lineRule="auto"/>
            </w:pPr>
            <w:r>
              <w:rPr>
                <w:rFonts w:ascii="Aptos" w:hAnsi="Aptos"/>
                <w:color w:val="303236"/>
                <w:sz w:val="18"/>
              </w:rPr>
              <w:t>Preserve score, classification, recommendation, generated content, alert, action, explanation, and uncertainty.</w:t>
            </w:r>
          </w:p>
        </w:tc>
        <w:tc>
          <w:tcPr>
            <w:tcW w:type="dxa" w:w="4444"/>
          </w:tcPr>
          <w:p>
            <w:pPr>
              <w:spacing w:after="60" w:before="60" w:line="252" w:lineRule="auto"/>
            </w:pPr>
            <w:r>
              <w:rPr>
                <w:rFonts w:ascii="Aptos" w:hAnsi="Aptos"/>
                <w:color w:val="303236"/>
                <w:sz w:val="18"/>
              </w:rPr>
            </w:r>
          </w:p>
        </w:tc>
      </w:tr>
      <w:tr>
        <w:trPr>
          <w:cantSplit/>
        </w:trPr>
        <w:tc>
          <w:tcPr>
            <w:tcW w:type="dxa" w:w="3175"/>
            <w:shd w:fill="F5F0E7" w:val="clear"/>
          </w:tcPr>
          <w:p>
            <w:pPr>
              <w:spacing w:after="60" w:before="60" w:line="252" w:lineRule="auto"/>
            </w:pPr>
            <w:r>
              <w:rPr>
                <w:rFonts w:ascii="Aptos" w:hAnsi="Aptos"/>
                <w:color w:val="303236"/>
                <w:sz w:val="18"/>
              </w:rPr>
              <w:t>Human action and decision context</w:t>
            </w:r>
          </w:p>
        </w:tc>
        <w:tc>
          <w:tcPr>
            <w:tcW w:type="dxa" w:w="6349"/>
            <w:shd w:fill="F5F0E7" w:val="clear"/>
          </w:tcPr>
          <w:p>
            <w:pPr>
              <w:spacing w:after="60" w:before="60" w:line="252" w:lineRule="auto"/>
            </w:pPr>
            <w:r>
              <w:rPr>
                <w:rFonts w:ascii="Aptos" w:hAnsi="Aptos"/>
                <w:color w:val="303236"/>
                <w:sz w:val="18"/>
              </w:rPr>
              <w:t>Record recipient, information available, accept, reject, modify, ignore, escalation, rationale, workload, staffing, patient condition, and capacity.</w:t>
            </w:r>
          </w:p>
        </w:tc>
        <w:tc>
          <w:tcPr>
            <w:tcW w:type="dxa" w:w="4444"/>
            <w:shd w:fill="F5F0E7" w:val="clear"/>
          </w:tcPr>
          <w:p>
            <w:pPr>
              <w:spacing w:after="60" w:before="60" w:line="252" w:lineRule="auto"/>
            </w:pPr>
            <w:r>
              <w:rPr>
                <w:rFonts w:ascii="Aptos" w:hAnsi="Aptos"/>
                <w:color w:val="303236"/>
                <w:sz w:val="18"/>
              </w:rPr>
            </w:r>
          </w:p>
        </w:tc>
      </w:tr>
      <w:tr>
        <w:trPr>
          <w:cantSplit/>
        </w:trPr>
        <w:tc>
          <w:tcPr>
            <w:tcW w:type="dxa" w:w="3175"/>
          </w:tcPr>
          <w:p>
            <w:pPr>
              <w:spacing w:after="60" w:before="60" w:line="252" w:lineRule="auto"/>
            </w:pPr>
            <w:r>
              <w:rPr>
                <w:rFonts w:ascii="Aptos" w:hAnsi="Aptos"/>
                <w:color w:val="303236"/>
                <w:sz w:val="18"/>
              </w:rPr>
              <w:t>Immediate response</w:t>
            </w:r>
          </w:p>
        </w:tc>
        <w:tc>
          <w:tcPr>
            <w:tcW w:type="dxa" w:w="6349"/>
          </w:tcPr>
          <w:p>
            <w:pPr>
              <w:spacing w:after="60" w:before="60" w:line="252" w:lineRule="auto"/>
            </w:pPr>
            <w:r>
              <w:rPr>
                <w:rFonts w:ascii="Aptos" w:hAnsi="Aptos"/>
                <w:color w:val="303236"/>
                <w:sz w:val="18"/>
              </w:rPr>
              <w:t>Record patient and service protection, containment, notification, restriction, pause, rollback, and fallback.</w:t>
            </w:r>
          </w:p>
        </w:tc>
        <w:tc>
          <w:tcPr>
            <w:tcW w:type="dxa" w:w="4444"/>
          </w:tcPr>
          <w:p>
            <w:pPr>
              <w:spacing w:after="60" w:before="60" w:line="252" w:lineRule="auto"/>
            </w:pPr>
            <w:r>
              <w:rPr>
                <w:rFonts w:ascii="Aptos" w:hAnsi="Aptos"/>
                <w:color w:val="303236"/>
                <w:sz w:val="18"/>
              </w:rPr>
            </w:r>
          </w:p>
        </w:tc>
      </w:tr>
      <w:tr>
        <w:trPr>
          <w:cantSplit/>
        </w:trPr>
        <w:tc>
          <w:tcPr>
            <w:tcW w:type="dxa" w:w="3175"/>
            <w:shd w:fill="F5F0E7" w:val="clear"/>
          </w:tcPr>
          <w:p>
            <w:pPr>
              <w:spacing w:after="60" w:before="60" w:line="252" w:lineRule="auto"/>
            </w:pPr>
            <w:r>
              <w:rPr>
                <w:rFonts w:ascii="Aptos" w:hAnsi="Aptos"/>
                <w:color w:val="303236"/>
                <w:sz w:val="18"/>
              </w:rPr>
              <w:t>Causal analysis and residual uncertainty</w:t>
            </w:r>
          </w:p>
        </w:tc>
        <w:tc>
          <w:tcPr>
            <w:tcW w:type="dxa" w:w="6349"/>
            <w:shd w:fill="F5F0E7" w:val="clear"/>
          </w:tcPr>
          <w:p>
            <w:pPr>
              <w:spacing w:after="60" w:before="60" w:line="252" w:lineRule="auto"/>
            </w:pPr>
            <w:r>
              <w:rPr>
                <w:rFonts w:ascii="Aptos" w:hAnsi="Aptos"/>
                <w:color w:val="303236"/>
                <w:sz w:val="18"/>
              </w:rPr>
              <w:t>Distinguish confirmed, contributing, and unresolved technical, clinical, workflow, organizational, and governance causes.</w:t>
            </w:r>
          </w:p>
        </w:tc>
        <w:tc>
          <w:tcPr>
            <w:tcW w:type="dxa" w:w="4444"/>
            <w:shd w:fill="F5F0E7" w:val="clear"/>
          </w:tcPr>
          <w:p>
            <w:pPr>
              <w:spacing w:after="60" w:before="60" w:line="252" w:lineRule="auto"/>
            </w:pPr>
            <w:r>
              <w:rPr>
                <w:rFonts w:ascii="Aptos" w:hAnsi="Aptos"/>
                <w:color w:val="303236"/>
                <w:sz w:val="18"/>
              </w:rPr>
            </w:r>
          </w:p>
        </w:tc>
      </w:tr>
      <w:tr>
        <w:trPr>
          <w:cantSplit/>
        </w:trPr>
        <w:tc>
          <w:tcPr>
            <w:tcW w:type="dxa" w:w="3175"/>
          </w:tcPr>
          <w:p>
            <w:pPr>
              <w:spacing w:after="60" w:before="60" w:line="252" w:lineRule="auto"/>
            </w:pPr>
            <w:r>
              <w:rPr>
                <w:rFonts w:ascii="Aptos" w:hAnsi="Aptos"/>
                <w:color w:val="303236"/>
                <w:sz w:val="18"/>
              </w:rPr>
              <w:t>Corrective and preventive action</w:t>
            </w:r>
          </w:p>
        </w:tc>
        <w:tc>
          <w:tcPr>
            <w:tcW w:type="dxa" w:w="6349"/>
          </w:tcPr>
          <w:p>
            <w:pPr>
              <w:spacing w:after="60" w:before="60" w:line="252" w:lineRule="auto"/>
            </w:pPr>
            <w:r>
              <w:rPr>
                <w:rFonts w:ascii="Aptos" w:hAnsi="Aptos"/>
                <w:color w:val="303236"/>
                <w:sz w:val="18"/>
              </w:rPr>
              <w:t>Record action, owner, deadline, revalidation, communication, vendor or contract response, monitoring change, and effectiveness check.</w:t>
            </w:r>
          </w:p>
        </w:tc>
        <w:tc>
          <w:tcPr>
            <w:tcW w:type="dxa" w:w="4444"/>
          </w:tcPr>
          <w:p>
            <w:pPr>
              <w:spacing w:after="60" w:before="60" w:line="252" w:lineRule="auto"/>
            </w:pPr>
            <w:r>
              <w:rPr>
                <w:rFonts w:ascii="Aptos" w:hAnsi="Aptos"/>
                <w:color w:val="303236"/>
                <w:sz w:val="18"/>
              </w:rPr>
            </w:r>
          </w:p>
        </w:tc>
      </w:tr>
      <w:tr>
        <w:trPr>
          <w:cantSplit/>
        </w:trPr>
        <w:tc>
          <w:tcPr>
            <w:tcW w:type="dxa" w:w="3175"/>
            <w:shd w:fill="F5F0E7" w:val="clear"/>
          </w:tcPr>
          <w:p>
            <w:pPr>
              <w:spacing w:after="60" w:before="60" w:line="252" w:lineRule="auto"/>
            </w:pPr>
            <w:r>
              <w:rPr>
                <w:rFonts w:ascii="Aptos" w:hAnsi="Aptos"/>
                <w:color w:val="303236"/>
                <w:sz w:val="18"/>
              </w:rPr>
              <w:t>Closure and learning</w:t>
            </w:r>
          </w:p>
        </w:tc>
        <w:tc>
          <w:tcPr>
            <w:tcW w:type="dxa" w:w="6349"/>
            <w:shd w:fill="F5F0E7" w:val="clear"/>
          </w:tcPr>
          <w:p>
            <w:pPr>
              <w:spacing w:after="60" w:before="60" w:line="252" w:lineRule="auto"/>
            </w:pPr>
            <w:r>
              <w:rPr>
                <w:rFonts w:ascii="Aptos" w:hAnsi="Aptos"/>
                <w:color w:val="303236"/>
                <w:sz w:val="18"/>
              </w:rPr>
              <w:t>Record closure authority, evidence, affected records and people, residual risk, recurrence prevention, and portfolio implications.</w:t>
            </w:r>
          </w:p>
        </w:tc>
        <w:tc>
          <w:tcPr>
            <w:tcW w:type="dxa" w:w="4444"/>
            <w:shd w:fill="F5F0E7" w:val="clear"/>
          </w:tcPr>
          <w:p>
            <w:pPr>
              <w:spacing w:after="60" w:before="60" w:line="252" w:lineRule="auto"/>
            </w:pPr>
            <w:r>
              <w:rPr>
                <w:rFonts w:ascii="Aptos" w:hAnsi="Aptos"/>
                <w:color w:val="303236"/>
                <w:sz w:val="18"/>
              </w:rPr>
            </w:r>
          </w:p>
        </w:tc>
      </w:tr>
    </w:tbl>
    <w:p>
      <w:r>
        <w:rPr>
          <w:rFonts w:ascii="Aptos" w:hAnsi="Aptos"/>
          <w:sz w:val="16"/>
        </w:rPr>
        <w:t>Local record control: owner __________________  evidence cut-off __________  next review __________  local version __________</w:t>
      </w:r>
    </w:p>
    <w:p>
      <w:pPr>
        <w:pageBreakBefore/>
        <w:spacing w:after="80"/>
      </w:pPr>
      <w:r>
        <w:rPr>
          <w:rFonts w:ascii="Aptos" w:hAnsi="Aptos"/>
          <w:color w:val="877567"/>
          <w:sz w:val="18"/>
        </w:rPr>
        <w:t>Part IV — Governance, Evidence, and Lifecycle Decision-Making</w:t>
      </w:r>
    </w:p>
    <w:p>
      <w:pPr>
        <w:pStyle w:val="Heading1"/>
      </w:pPr>
      <w:r>
        <w:t>AIHE-D05 — Material Change, Reauthorization, Renewal, Replacement, and Retirement Record</w:t>
      </w:r>
    </w:p>
    <w:p>
      <w:pPr>
        <w:spacing w:after="80"/>
      </w:pPr>
      <w:r>
        <w:rPr>
          <w:color w:val="877567"/>
          <w:sz w:val="20"/>
        </w:rPr>
        <w:t>Chapter 12: Decision Architecture and Lifecycle Governance</w:t>
      </w:r>
    </w:p>
    <w:p>
      <w:r>
        <w:t>Assess material change, revalidation, current authorization, renewal, renegotiation, replacement, retirement, continuity, and the end of authorization.</w:t>
      </w:r>
    </w:p>
    <w:p>
      <w:r>
        <w:rPr>
          <w:rFonts w:ascii="Aptos" w:hAnsi="Aptos"/>
          <w:sz w:val="17"/>
        </w:rPr>
        <w:t>Resource: AIHE-D05  |  V1.0  |  Aligned chapters: 9, 11, 12</w:t>
      </w:r>
    </w:p>
    <w:p>
      <w:r>
        <w:t>Renewal is a new decision against current evidence and alternatives. A technical update or interface shutdown does not by itself constitute reauthorization or retirement. Document continuity, records, communication, support, contractual closure, and the end of authorization (book §§12.4–12.5).</w:t>
      </w:r>
    </w:p>
    <w:tbl>
      <w:tblPr>
        <w:tblW w:type="auto" w:w="0"/>
        <w:tblLayout w:type="fixed"/>
        <w:tblLook w:firstColumn="1" w:firstRow="1" w:lastColumn="0" w:lastRow="0" w:noHBand="0" w:noVBand="1" w:val="04A0"/>
        <w:tblBorders>
          <w:top w:val="single" w:sz="4" w:color="D9D0C2"/>
          <w:left w:val="single" w:sz="4" w:color="D9D0C2"/>
          <w:bottom w:val="single" w:sz="4" w:color="D9D0C2"/>
          <w:right w:val="single" w:sz="4" w:color="D9D0C2"/>
          <w:insideH w:val="single" w:sz="4" w:color="D9D0C2"/>
          <w:insideV w:val="single" w:sz="4" w:color="D9D0C2"/>
        </w:tblBorders>
        <w:tblCellMar>
          <w:top w:w="80" w:type="dxa"/>
          <w:left w:w="80" w:type="dxa"/>
          <w:bottom w:w="80" w:type="dxa"/>
          <w:right w:w="80" w:type="dxa"/>
        </w:tblCellMar>
      </w:tblPr>
      <w:tblGrid>
        <w:gridCol w:w="3175"/>
        <w:gridCol w:w="6349"/>
        <w:gridCol w:w="4444"/>
      </w:tblGrid>
      <w:tr>
        <w:trPr>
          <w:tblHeader/>
          <w:cantSplit/>
        </w:trPr>
        <w:tc>
          <w:tcPr>
            <w:tcW w:type="dxa" w:w="3175"/>
            <w:shd w:fill="6B2230" w:val="clear"/>
          </w:tcPr>
          <w:p>
            <w:pPr>
              <w:spacing w:after="60" w:before="60"/>
            </w:pPr>
            <w:r>
              <w:rPr>
                <w:rFonts w:ascii="Aptos" w:hAnsi="Aptos"/>
                <w:b/>
                <w:color w:val="FFFFFF"/>
                <w:sz w:val="18"/>
              </w:rPr>
              <w:t>Field</w:t>
            </w:r>
          </w:p>
        </w:tc>
        <w:tc>
          <w:tcPr>
            <w:tcW w:type="dxa" w:w="6349"/>
            <w:shd w:fill="6B2230" w:val="clear"/>
          </w:tcPr>
          <w:p>
            <w:pPr>
              <w:spacing w:after="60" w:before="60"/>
            </w:pPr>
            <w:r>
              <w:rPr>
                <w:rFonts w:ascii="Aptos" w:hAnsi="Aptos"/>
                <w:b/>
                <w:color w:val="FFFFFF"/>
                <w:sz w:val="18"/>
              </w:rPr>
              <w:t>Guidance</w:t>
            </w:r>
          </w:p>
        </w:tc>
        <w:tc>
          <w:tcPr>
            <w:tcW w:type="dxa" w:w="4444"/>
            <w:shd w:fill="6B2230" w:val="clear"/>
          </w:tcPr>
          <w:p>
            <w:pPr>
              <w:spacing w:after="60" w:before="60"/>
            </w:pPr>
            <w:r>
              <w:rPr>
                <w:rFonts w:ascii="Aptos" w:hAnsi="Aptos"/>
                <w:b/>
                <w:color w:val="FFFFFF"/>
                <w:sz w:val="18"/>
              </w:rPr>
              <w:t>Institutional response</w:t>
            </w:r>
          </w:p>
        </w:tc>
      </w:tr>
      <w:tr>
        <w:trPr>
          <w:cantSplit/>
        </w:trPr>
        <w:tc>
          <w:tcPr>
            <w:tcW w:type="dxa" w:w="3175"/>
            <w:shd w:fill="F5F0E7" w:val="clear"/>
          </w:tcPr>
          <w:p>
            <w:pPr>
              <w:spacing w:after="60" w:before="60" w:line="252" w:lineRule="auto"/>
            </w:pPr>
            <w:r>
              <w:rPr>
                <w:rFonts w:ascii="Aptos" w:hAnsi="Aptos"/>
                <w:color w:val="303236"/>
                <w:sz w:val="18"/>
              </w:rPr>
              <w:t>Change or review trigger</w:t>
            </w:r>
          </w:p>
        </w:tc>
        <w:tc>
          <w:tcPr>
            <w:tcW w:type="dxa" w:w="6349"/>
            <w:shd w:fill="F5F0E7" w:val="clear"/>
          </w:tcPr>
          <w:p>
            <w:pPr>
              <w:spacing w:after="60" w:before="60" w:line="252" w:lineRule="auto"/>
            </w:pPr>
            <w:r>
              <w:rPr>
                <w:rFonts w:ascii="Aptos" w:hAnsi="Aptos"/>
                <w:color w:val="303236"/>
                <w:sz w:val="18"/>
              </w:rPr>
              <w:t>Model, data source, threshold, interface, workflow, intended use, population, hosting, infrastructure, supplier, upstream dependency, pricing, support, law, evidence, or comparator.</w:t>
            </w:r>
          </w:p>
        </w:tc>
        <w:tc>
          <w:tcPr>
            <w:tcW w:type="dxa" w:w="4444"/>
            <w:shd w:fill="F5F0E7" w:val="clear"/>
          </w:tcPr>
          <w:p>
            <w:pPr>
              <w:spacing w:after="60" w:before="60" w:line="252" w:lineRule="auto"/>
            </w:pPr>
            <w:r>
              <w:rPr>
                <w:rFonts w:ascii="Aptos" w:hAnsi="Aptos"/>
                <w:color w:val="303236"/>
                <w:sz w:val="18"/>
              </w:rPr>
            </w:r>
          </w:p>
        </w:tc>
      </w:tr>
      <w:tr>
        <w:trPr>
          <w:cantSplit/>
        </w:trPr>
        <w:tc>
          <w:tcPr>
            <w:tcW w:type="dxa" w:w="3175"/>
          </w:tcPr>
          <w:p>
            <w:pPr>
              <w:spacing w:after="60" w:before="60" w:line="252" w:lineRule="auto"/>
            </w:pPr>
            <w:r>
              <w:rPr>
                <w:rFonts w:ascii="Aptos" w:hAnsi="Aptos"/>
                <w:color w:val="303236"/>
                <w:sz w:val="18"/>
              </w:rPr>
              <w:t>Previous and proposed identity</w:t>
            </w:r>
          </w:p>
        </w:tc>
        <w:tc>
          <w:tcPr>
            <w:tcW w:type="dxa" w:w="6349"/>
          </w:tcPr>
          <w:p>
            <w:pPr>
              <w:spacing w:after="60" w:before="60" w:line="252" w:lineRule="auto"/>
            </w:pPr>
            <w:r>
              <w:rPr>
                <w:rFonts w:ascii="Aptos" w:hAnsi="Aptos"/>
                <w:color w:val="303236"/>
                <w:sz w:val="18"/>
              </w:rPr>
              <w:t>Record the system, model, configuration, data, workflow, supplier, intended use, and versions before and after the change.</w:t>
            </w:r>
          </w:p>
        </w:tc>
        <w:tc>
          <w:tcPr>
            <w:tcW w:type="dxa" w:w="4444"/>
          </w:tcPr>
          <w:p>
            <w:pPr>
              <w:spacing w:after="60" w:before="60" w:line="252" w:lineRule="auto"/>
            </w:pPr>
            <w:r>
              <w:rPr>
                <w:rFonts w:ascii="Aptos" w:hAnsi="Aptos"/>
                <w:color w:val="303236"/>
                <w:sz w:val="18"/>
              </w:rPr>
            </w:r>
          </w:p>
        </w:tc>
      </w:tr>
      <w:tr>
        <w:trPr>
          <w:cantSplit/>
        </w:trPr>
        <w:tc>
          <w:tcPr>
            <w:tcW w:type="dxa" w:w="3175"/>
            <w:shd w:fill="F5F0E7" w:val="clear"/>
          </w:tcPr>
          <w:p>
            <w:pPr>
              <w:spacing w:after="60" w:before="60" w:line="252" w:lineRule="auto"/>
            </w:pPr>
            <w:r>
              <w:rPr>
                <w:rFonts w:ascii="Aptos" w:hAnsi="Aptos"/>
                <w:color w:val="303236"/>
                <w:sz w:val="18"/>
              </w:rPr>
              <w:t>Materiality and immediate control</w:t>
            </w:r>
          </w:p>
        </w:tc>
        <w:tc>
          <w:tcPr>
            <w:tcW w:type="dxa" w:w="6349"/>
            <w:shd w:fill="F5F0E7" w:val="clear"/>
          </w:tcPr>
          <w:p>
            <w:pPr>
              <w:spacing w:after="60" w:before="60" w:line="252" w:lineRule="auto"/>
            </w:pPr>
            <w:r>
              <w:rPr>
                <w:rFonts w:ascii="Aptos" w:hAnsi="Aptos"/>
                <w:color w:val="303236"/>
                <w:sz w:val="18"/>
              </w:rPr>
              <w:t>Assess effects on behaviour, performance, risk, user interaction, resource use, evidence, and obligations; record restriction, rollback, silent mode, pause, or continuity control.</w:t>
            </w:r>
          </w:p>
        </w:tc>
        <w:tc>
          <w:tcPr>
            <w:tcW w:type="dxa" w:w="4444"/>
            <w:shd w:fill="F5F0E7" w:val="clear"/>
          </w:tcPr>
          <w:p>
            <w:pPr>
              <w:spacing w:after="60" w:before="60" w:line="252" w:lineRule="auto"/>
            </w:pPr>
            <w:r>
              <w:rPr>
                <w:rFonts w:ascii="Aptos" w:hAnsi="Aptos"/>
                <w:color w:val="303236"/>
                <w:sz w:val="18"/>
              </w:rPr>
            </w:r>
          </w:p>
        </w:tc>
      </w:tr>
      <w:tr>
        <w:trPr>
          <w:cantSplit/>
        </w:trPr>
        <w:tc>
          <w:tcPr>
            <w:tcW w:type="dxa" w:w="3175"/>
          </w:tcPr>
          <w:p>
            <w:pPr>
              <w:spacing w:after="60" w:before="60" w:line="252" w:lineRule="auto"/>
            </w:pPr>
            <w:r>
              <w:rPr>
                <w:rFonts w:ascii="Aptos" w:hAnsi="Aptos"/>
                <w:color w:val="303236"/>
                <w:sz w:val="18"/>
              </w:rPr>
              <w:t>Evidence and dossier elements affected</w:t>
            </w:r>
          </w:p>
        </w:tc>
        <w:tc>
          <w:tcPr>
            <w:tcW w:type="dxa" w:w="6349"/>
          </w:tcPr>
          <w:p>
            <w:pPr>
              <w:spacing w:after="60" w:before="60" w:line="252" w:lineRule="auto"/>
            </w:pPr>
            <w:r>
              <w:rPr>
                <w:rFonts w:ascii="Aptos" w:hAnsi="Aptos"/>
                <w:color w:val="303236"/>
                <w:sz w:val="18"/>
              </w:rPr>
              <w:t>Identify validation, causal, economic, implementation, quality, equity, governance, contract, training, communication, monitoring, and AI-HED records requiring revision.</w:t>
            </w:r>
          </w:p>
        </w:tc>
        <w:tc>
          <w:tcPr>
            <w:tcW w:type="dxa" w:w="4444"/>
          </w:tcPr>
          <w:p>
            <w:pPr>
              <w:spacing w:after="60" w:before="60" w:line="252" w:lineRule="auto"/>
            </w:pPr>
            <w:r>
              <w:rPr>
                <w:rFonts w:ascii="Aptos" w:hAnsi="Aptos"/>
                <w:color w:val="303236"/>
                <w:sz w:val="18"/>
              </w:rPr>
            </w:r>
          </w:p>
        </w:tc>
      </w:tr>
      <w:tr>
        <w:trPr>
          <w:cantSplit/>
        </w:trPr>
        <w:tc>
          <w:tcPr>
            <w:tcW w:type="dxa" w:w="3175"/>
            <w:shd w:fill="F5F0E7" w:val="clear"/>
          </w:tcPr>
          <w:p>
            <w:pPr>
              <w:spacing w:after="60" w:before="60" w:line="252" w:lineRule="auto"/>
            </w:pPr>
            <w:r>
              <w:rPr>
                <w:rFonts w:ascii="Aptos" w:hAnsi="Aptos"/>
                <w:color w:val="303236"/>
                <w:sz w:val="18"/>
              </w:rPr>
              <w:t>Revalidation and reauthorization plan</w:t>
            </w:r>
          </w:p>
        </w:tc>
        <w:tc>
          <w:tcPr>
            <w:tcW w:type="dxa" w:w="6349"/>
            <w:shd w:fill="F5F0E7" w:val="clear"/>
          </w:tcPr>
          <w:p>
            <w:pPr>
              <w:spacing w:after="60" w:before="60" w:line="252" w:lineRule="auto"/>
            </w:pPr>
            <w:r>
              <w:rPr>
                <w:rFonts w:ascii="Aptos" w:hAnsi="Aptos"/>
                <w:color w:val="303236"/>
                <w:sz w:val="18"/>
              </w:rPr>
              <w:t>Define tests, subgroups, human factors, acceptance thresholds, pilot or silent evaluation, accountable reviewers, approval route, and release plan.</w:t>
            </w:r>
          </w:p>
        </w:tc>
        <w:tc>
          <w:tcPr>
            <w:tcW w:type="dxa" w:w="4444"/>
            <w:shd w:fill="F5F0E7" w:val="clear"/>
          </w:tcPr>
          <w:p>
            <w:pPr>
              <w:spacing w:after="60" w:before="60" w:line="252" w:lineRule="auto"/>
            </w:pPr>
            <w:r>
              <w:rPr>
                <w:rFonts w:ascii="Aptos" w:hAnsi="Aptos"/>
                <w:color w:val="303236"/>
                <w:sz w:val="18"/>
              </w:rPr>
            </w:r>
          </w:p>
        </w:tc>
      </w:tr>
      <w:tr>
        <w:trPr>
          <w:cantSplit/>
        </w:trPr>
        <w:tc>
          <w:tcPr>
            <w:tcW w:type="dxa" w:w="3175"/>
          </w:tcPr>
          <w:p>
            <w:pPr>
              <w:spacing w:after="60" w:before="60" w:line="252" w:lineRule="auto"/>
            </w:pPr>
            <w:r>
              <w:rPr>
                <w:rFonts w:ascii="Aptos" w:hAnsi="Aptos"/>
                <w:color w:val="303236"/>
                <w:sz w:val="18"/>
              </w:rPr>
              <w:t>Current value, affordability, and alternatives</w:t>
            </w:r>
          </w:p>
        </w:tc>
        <w:tc>
          <w:tcPr>
            <w:tcW w:type="dxa" w:w="6349"/>
          </w:tcPr>
          <w:p>
            <w:pPr>
              <w:spacing w:after="60" w:before="60" w:line="252" w:lineRule="auto"/>
            </w:pPr>
            <w:r>
              <w:rPr>
                <w:rFonts w:ascii="Aptos" w:hAnsi="Aptos"/>
                <w:color w:val="303236"/>
                <w:sz w:val="18"/>
              </w:rPr>
              <w:t>Reassess lifecycle cost, benefit realization, budget incidence, price, supported life, risk, opportunity cost, replacement, and credible alternatives.</w:t>
            </w:r>
          </w:p>
        </w:tc>
        <w:tc>
          <w:tcPr>
            <w:tcW w:type="dxa" w:w="4444"/>
          </w:tcPr>
          <w:p>
            <w:pPr>
              <w:spacing w:after="60" w:before="60" w:line="252" w:lineRule="auto"/>
            </w:pPr>
            <w:r>
              <w:rPr>
                <w:rFonts w:ascii="Aptos" w:hAnsi="Aptos"/>
                <w:color w:val="303236"/>
                <w:sz w:val="18"/>
              </w:rPr>
            </w:r>
          </w:p>
        </w:tc>
      </w:tr>
      <w:tr>
        <w:trPr>
          <w:cantSplit/>
        </w:trPr>
        <w:tc>
          <w:tcPr>
            <w:tcW w:type="dxa" w:w="3175"/>
            <w:shd w:fill="F5F0E7" w:val="clear"/>
          </w:tcPr>
          <w:p>
            <w:pPr>
              <w:spacing w:after="60" w:before="60" w:line="252" w:lineRule="auto"/>
            </w:pPr>
            <w:r>
              <w:rPr>
                <w:rFonts w:ascii="Aptos" w:hAnsi="Aptos"/>
                <w:color w:val="303236"/>
                <w:sz w:val="18"/>
              </w:rPr>
              <w:t>Lifecycle decision</w:t>
            </w:r>
          </w:p>
        </w:tc>
        <w:tc>
          <w:tcPr>
            <w:tcW w:type="dxa" w:w="6349"/>
            <w:shd w:fill="F5F0E7" w:val="clear"/>
          </w:tcPr>
          <w:p>
            <w:pPr>
              <w:spacing w:after="60" w:before="60" w:line="252" w:lineRule="auto"/>
            </w:pPr>
            <w:r>
              <w:rPr>
                <w:rFonts w:ascii="Aptos" w:hAnsi="Aptos"/>
                <w:color w:val="303236"/>
                <w:sz w:val="18"/>
              </w:rPr>
              <w:t>Continue unchanged; continue with conditions; modify; restrict; suspend; reauthorize; renew; renegotiate; replace; or retire.</w:t>
            </w:r>
          </w:p>
        </w:tc>
        <w:tc>
          <w:tcPr>
            <w:tcW w:type="dxa" w:w="4444"/>
            <w:shd w:fill="F5F0E7" w:val="clear"/>
          </w:tcPr>
          <w:p>
            <w:pPr>
              <w:spacing w:after="60" w:before="60" w:line="252" w:lineRule="auto"/>
            </w:pPr>
            <w:r>
              <w:rPr>
                <w:rFonts w:ascii="Aptos" w:hAnsi="Aptos"/>
                <w:color w:val="303236"/>
                <w:sz w:val="18"/>
              </w:rPr>
            </w:r>
          </w:p>
        </w:tc>
      </w:tr>
      <w:tr>
        <w:trPr>
          <w:cantSplit/>
        </w:trPr>
        <w:tc>
          <w:tcPr>
            <w:tcW w:type="dxa" w:w="3175"/>
          </w:tcPr>
          <w:p>
            <w:pPr>
              <w:spacing w:after="60" w:before="60" w:line="252" w:lineRule="auto"/>
            </w:pPr>
            <w:r>
              <w:rPr>
                <w:rFonts w:ascii="Aptos" w:hAnsi="Aptos"/>
                <w:color w:val="303236"/>
                <w:sz w:val="18"/>
              </w:rPr>
              <w:t>Continuity, closure, and next review</w:t>
            </w:r>
          </w:p>
        </w:tc>
        <w:tc>
          <w:tcPr>
            <w:tcW w:type="dxa" w:w="6349"/>
          </w:tcPr>
          <w:p>
            <w:pPr>
              <w:spacing w:after="60" w:before="60" w:line="252" w:lineRule="auto"/>
            </w:pPr>
            <w:r>
              <w:rPr>
                <w:rFonts w:ascii="Aptos" w:hAnsi="Aptos"/>
                <w:color w:val="303236"/>
                <w:sz w:val="18"/>
              </w:rPr>
              <w:t>Record fallback, data export, retention or deletion, workflow transition, communication, contract closure, asset disposition, end of authorization, authority, date, and next trigger.</w:t>
            </w:r>
          </w:p>
        </w:tc>
        <w:tc>
          <w:tcPr>
            <w:tcW w:type="dxa" w:w="4444"/>
          </w:tcPr>
          <w:p>
            <w:pPr>
              <w:spacing w:after="60" w:before="60" w:line="252" w:lineRule="auto"/>
            </w:pPr>
            <w:r>
              <w:rPr>
                <w:rFonts w:ascii="Aptos" w:hAnsi="Aptos"/>
                <w:color w:val="303236"/>
                <w:sz w:val="18"/>
              </w:rPr>
            </w:r>
          </w:p>
        </w:tc>
      </w:tr>
    </w:tbl>
    <w:p>
      <w:r>
        <w:rPr>
          <w:rFonts w:ascii="Aptos" w:hAnsi="Aptos"/>
          <w:sz w:val="16"/>
        </w:rPr>
        <w:t>Local record control: owner __________________  evidence cut-off __________  next review __________  local version __________</w:t>
      </w:r>
    </w:p>
    <w:sectPr>
      <w:headerReference w:type="default" r:id="rId9"/>
      <w:footerReference w:type="default" r:id="rId10"/>
      <w:pgSz w:w="15840" w:h="12240" w:orient="landscape"/>
      <w:pgMar w:top="936" w:right="936" w:bottom="864" w:left="936" w:header="403"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6B223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30323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6B22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keepNext/>
      <w:pBdr>
        <w:bottom w:val="single" w:sz="8" w:space="4" w:color="877567" w:themeColor="accent1"/>
      </w:pBdr>
      <w:spacing w:after="120" w:line="240" w:lineRule="auto" w:before="240"/>
      <w:contextualSpacing/>
    </w:pPr>
    <w:rPr>
      <w:rFonts w:asciiTheme="majorHAnsi" w:eastAsiaTheme="majorEastAsia" w:hAnsiTheme="majorHAnsi" w:cstheme="majorBidi" w:ascii="Aptos" w:hAnsi="Aptos"/>
      <w:b/>
      <w:color w:val="6B223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Aptos" w:hAnsi="Aptos"/>
      <w:b w:val="0"/>
      <w:i/>
      <w:iCs/>
      <w:color w:val="30323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 Core Resource Forms</dc:title>
  <dc:subject>Healthcare management, economics, evidence, and lifecycle governance</dc:subject>
  <dc:creator>Muthana Zouri; Carmen Marinela Cumpăt</dc:creator>
  <cp:lastModifiedBy/>
  <cp:revision>1</cp:revision>
  <dc:description>Developed and maintained independently by Muthana Zouri and Carmen Marinela Cumpăt.</dc:description>
</cp:coreProperties>
</file>