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Common AI Adoption Failures and Corrective Actions</w:t>
      </w:r>
    </w:p>
    <w:p>
      <w:pPr>
        <w:jc w:val="centre"/>
      </w:pPr>
      <w:r>
        <w:rPr>
          <w:b/>
          <w:color w:val="7A2334"/>
        </w:rPr>
        <w:t>AIHE-RG07</w:t>
      </w:r>
    </w:p>
    <w:p>
      <w:pPr>
        <w:spacing w:after="40"/>
      </w:pPr>
      <w:r>
        <w:rPr>
          <w:b/>
        </w:rPr>
        <w:t xml:space="preserve">Primary chapter: </w:t>
      </w:r>
      <w:r>
        <w:t>1 — AI as a Health System Intervention</w:t>
      </w:r>
    </w:p>
    <w:p>
      <w:pPr>
        <w:spacing w:after="40"/>
      </w:pPr>
      <w:r>
        <w:rPr>
          <w:b/>
        </w:rPr>
        <w:t xml:space="preserve">Additional chapter alignment: </w:t>
      </w:r>
      <w:r>
        <w:t>1-12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Identify recurring technology-led, economic, workflow, evidence, governance, procurement, and lifecycle failures and record preventive controls.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</w:tblGrid>
      <w:tr>
        <w:trPr>
          <w:tblHeader w:val="true"/>
        </w:trPr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Failure pattern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Observed or plausible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Current control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Gap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Corrective action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Due date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Closure evidence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Residual risk</w:t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Buying before defining the problem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Treating accuracy as value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Ignoring hidden lifecycle costs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Assuming time saved becomes cash saving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Accepting vendor evidence without local validation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Treating ethics privacy cybersecurity or equity as late approval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Using symbolic human oversight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Scaling from pilot averages without marginal analysis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Contracting without update and exit controls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Monitoring only model performance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Omitting de-adoption criteria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</w:tbl>
    <w:sectPr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