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 — AI Readiness Assessment for Health Systems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pPr>
              <w:spacing w:before="0" w:after="20" w:line="252" w:lineRule="auto"/>
            </w:pPr>
            <w:r>
              <w:rPr>
                <w:sz w:val="18"/>
              </w:rPr>
              <w:t>Resource ID</w:t>
            </w:r>
          </w:p>
        </w:tc>
        <w:tc>
          <w:tcPr>
            <w:tcW w:type="dxa" w:w="5184"/>
            <w:tcMar>
              <w:top w:w="80" w:type="dxa"/>
              <w:start w:w="80" w:type="dxa"/>
              <w:bottom w:w="80" w:type="dxa"/>
              <w:end w:w="80" w:type="dxa"/>
            </w:tcMar>
          </w:tcPr>
          <w:p>
            <w:pPr>
              <w:spacing w:before="0" w:after="20" w:line="252" w:lineRule="auto"/>
            </w:pPr>
            <w:r>
              <w:rPr>
                <w:sz w:val="18"/>
              </w:rPr>
              <w:t>AIHE-A</w:t>
            </w:r>
          </w:p>
        </w:tc>
      </w:tr>
      <w:tr>
        <w:tc>
          <w:tcPr>
            <w:tcW w:type="dxa" w:w="5184"/>
            <w:shd w:fill="F5F0E7"/>
            <w:tcMar>
              <w:top w:w="80" w:type="dxa"/>
              <w:start w:w="80" w:type="dxa"/>
              <w:bottom w:w="80" w:type="dxa"/>
              <w:end w:w="80" w:type="dxa"/>
            </w:tcMar>
          </w:tcPr>
          <w:p>
            <w:pPr>
              <w:spacing w:before="0" w:after="20" w:line="252" w:lineRule="auto"/>
            </w:pPr>
            <w:r>
              <w:rPr>
                <w:sz w:val="18"/>
              </w:rPr>
              <w:t>Version</w:t>
            </w:r>
          </w:p>
        </w:tc>
        <w:tc>
          <w:tcPr>
            <w:tcW w:type="dxa" w:w="5184"/>
            <w:tcMar>
              <w:top w:w="80" w:type="dxa"/>
              <w:start w:w="80" w:type="dxa"/>
              <w:bottom w:w="80" w:type="dxa"/>
              <w:end w:w="80" w:type="dxa"/>
            </w:tcMar>
            <w:vAlign w:val="centre"/>
          </w:tcPr>
          <w:p>
            <w:pPr>
              <w:spacing w:before="0" w:after="20" w:line="252" w:lineRule="auto"/>
              <w:jc w:val="left"/>
            </w:pPr>
            <w:r>
              <w:rPr>
                <w:sz w:val="18"/>
              </w:rPr>
              <w:t>V1.0 | aligned to the twelve-chapter reference edition and Resource Sets A–D</w:t>
            </w:r>
          </w:p>
        </w:tc>
      </w:tr>
      <w:tr>
        <w:tc>
          <w:tcPr>
            <w:tcW w:type="dxa" w:w="5184"/>
            <w:shd w:fill="F5F0E7"/>
            <w:tcMar>
              <w:top w:w="80" w:type="dxa"/>
              <w:start w:w="80" w:type="dxa"/>
              <w:bottom w:w="80" w:type="dxa"/>
              <w:end w:w="80" w:type="dxa"/>
            </w:tcMar>
          </w:tcPr>
          <w:p>
            <w:pPr>
              <w:spacing w:before="0" w:after="20" w:line="252" w:lineRule="auto"/>
            </w:pPr>
            <w:r>
              <w:rPr>
                <w:sz w:val="18"/>
              </w:rPr>
              <w:t>Last reviewed</w:t>
            </w:r>
          </w:p>
        </w:tc>
        <w:tc>
          <w:tcPr>
            <w:tcW w:type="dxa" w:w="5184"/>
            <w:tcMar>
              <w:top w:w="80" w:type="dxa"/>
              <w:start w:w="80" w:type="dxa"/>
              <w:bottom w:w="80" w:type="dxa"/>
              <w:end w:w="80" w:type="dxa"/>
            </w:tcMar>
          </w:tcPr>
          <w:p>
            <w:pPr>
              <w:spacing w:before="0" w:after="20" w:line="252" w:lineRule="auto"/>
            </w:pPr>
            <w:r>
              <w:rPr>
                <w:sz w:val="18"/>
              </w:rPr>
              <w:t>2026-07-26</w:t>
            </w:r>
          </w:p>
        </w:tc>
      </w:tr>
      <w:tr>
        <w:tc>
          <w:tcPr>
            <w:tcW w:type="dxa" w:w="5184"/>
            <w:shd w:fill="F5F0E7"/>
            <w:tcMar>
              <w:top w:w="80" w:type="dxa"/>
              <w:start w:w="80" w:type="dxa"/>
              <w:bottom w:w="80" w:type="dxa"/>
              <w:end w:w="80" w:type="dxa"/>
            </w:tcMar>
          </w:tcPr>
          <w:p>
            <w:pPr>
              <w:spacing w:before="0" w:after="20" w:line="252" w:lineRule="auto"/>
            </w:pPr>
            <w:r>
              <w:rPr>
                <w:sz w:val="18"/>
              </w:rPr>
              <w:t>Related chapters</w:t>
            </w:r>
          </w:p>
        </w:tc>
        <w:tc>
          <w:tcPr>
            <w:tcW w:type="dxa" w:w="5184"/>
            <w:tcMar>
              <w:top w:w="80" w:type="dxa"/>
              <w:start w:w="80" w:type="dxa"/>
              <w:bottom w:w="80" w:type="dxa"/>
              <w:end w:w="80" w:type="dxa"/>
            </w:tcMar>
            <w:vAlign w:val="centre"/>
          </w:tcPr>
          <w:p>
            <w:pPr>
              <w:spacing w:before="0" w:after="20" w:line="252" w:lineRule="auto"/>
              <w:jc w:val="left"/>
            </w:pPr>
            <w:r>
              <w:rPr>
                <w:sz w:val="18"/>
              </w:rPr>
            </w:r>
            <w:r>
              <w:rPr>
                <w:b w:val="0"/>
                <w:sz w:val="18"/>
              </w:rPr>
              <w:t>Chapter 2: Institutional Readiness and Digital Foundations; Chapter 9: Problem-First Procurement and Vendor Governance; 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pPr>
              <w:spacing w:before="0" w:after="20" w:line="252" w:lineRule="auto"/>
            </w:pPr>
            <w:r>
              <w:rPr>
                <w:sz w:val="18"/>
              </w:rPr>
              <w:t>Intended users</w:t>
            </w:r>
          </w:p>
        </w:tc>
        <w:tc>
          <w:tcPr>
            <w:tcW w:type="dxa" w:w="5184"/>
            <w:tcMar>
              <w:top w:w="80" w:type="dxa"/>
              <w:start w:w="80" w:type="dxa"/>
              <w:bottom w:w="80" w:type="dxa"/>
              <w:end w:w="80" w:type="dxa"/>
            </w:tcMar>
          </w:tcPr>
          <w:p>
            <w:pPr>
              <w:spacing w:before="0" w:after="20" w:line="252" w:lineRule="auto"/>
            </w:pPr>
            <w:r>
              <w:rPr>
                <w:sz w:val="18"/>
              </w:rP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A.1. Digital Resource AIHE-A: AI Readiness Assessment for Health Systems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pPr>
              <w:spacing w:before="0" w:after="20" w:line="252" w:lineRule="auto"/>
            </w:pPr>
            <w:r>
              <w:rPr>
                <w:b/>
                <w:sz w:val="18"/>
              </w:rPr>
              <w:t>Domain</w:t>
            </w:r>
          </w:p>
        </w:tc>
        <w:tc>
          <w:tcPr>
            <w:tcW w:type="dxa" w:w="2592"/>
            <w:vAlign w:val="centre"/>
            <w:tcMar>
              <w:top w:w="80" w:type="dxa"/>
              <w:start w:w="80" w:type="dxa"/>
              <w:bottom w:w="80" w:type="dxa"/>
              <w:end w:w="80" w:type="dxa"/>
            </w:tcMar>
            <w:shd w:fill="F5F0E7"/>
          </w:tcPr>
          <w:p>
            <w:pPr>
              <w:spacing w:before="0" w:after="20" w:line="252" w:lineRule="auto"/>
            </w:pPr>
            <w:r>
              <w:rPr>
                <w:b/>
                <w:sz w:val="18"/>
              </w:rPr>
              <w:t>Assessment question</w:t>
            </w:r>
          </w:p>
        </w:tc>
        <w:tc>
          <w:tcPr>
            <w:tcW w:type="dxa" w:w="2592"/>
            <w:vAlign w:val="centre"/>
            <w:tcMar>
              <w:top w:w="80" w:type="dxa"/>
              <w:start w:w="80" w:type="dxa"/>
              <w:bottom w:w="80" w:type="dxa"/>
              <w:end w:w="80" w:type="dxa"/>
            </w:tcMar>
            <w:shd w:fill="F5F0E7"/>
          </w:tcPr>
          <w:p>
            <w:pPr>
              <w:spacing w:before="0" w:after="20" w:line="252" w:lineRule="auto"/>
            </w:pPr>
            <w:r>
              <w:rPr>
                <w:b/>
                <w:sz w:val="18"/>
              </w:rPr>
              <w:t>Score 0-3</w:t>
            </w:r>
          </w:p>
        </w:tc>
        <w:tc>
          <w:tcPr>
            <w:tcW w:type="dxa" w:w="2592"/>
            <w:vAlign w:val="centre"/>
            <w:tcMar>
              <w:top w:w="80" w:type="dxa"/>
              <w:start w:w="80" w:type="dxa"/>
              <w:bottom w:w="80" w:type="dxa"/>
              <w:end w:w="80" w:type="dxa"/>
            </w:tcMar>
            <w:shd w:fill="F5F0E7"/>
          </w:tcPr>
          <w:p>
            <w:pPr>
              <w:spacing w:before="0" w:after="20" w:line="252" w:lineRule="auto"/>
            </w:pPr>
            <w:r>
              <w:rPr>
                <w:b/>
                <w:sz w:val="18"/>
              </w:rPr>
              <w:t>Evidence required</w:t>
            </w:r>
          </w:p>
        </w:tc>
      </w:tr>
      <w:tr>
        <w:tc>
          <w:tcPr>
            <w:tcW w:type="dxa" w:w="2592"/>
            <w:vAlign w:val="centre"/>
            <w:tcMar>
              <w:top w:w="80" w:type="dxa"/>
              <w:start w:w="80" w:type="dxa"/>
              <w:bottom w:w="80" w:type="dxa"/>
              <w:end w:w="80" w:type="dxa"/>
            </w:tcMar>
          </w:tcPr>
          <w:p>
            <w:pPr>
              <w:spacing w:before="0" w:after="20" w:line="252" w:lineRule="auto"/>
            </w:pPr>
            <w:r>
              <w:rPr>
                <w:sz w:val="18"/>
              </w:rPr>
              <w:t>Strategic alignment</w:t>
            </w:r>
          </w:p>
        </w:tc>
        <w:tc>
          <w:tcPr>
            <w:tcW w:type="dxa" w:w="2592"/>
            <w:vAlign w:val="centre"/>
            <w:tcMar>
              <w:top w:w="80" w:type="dxa"/>
              <w:start w:w="80" w:type="dxa"/>
              <w:bottom w:w="80" w:type="dxa"/>
              <w:end w:w="80" w:type="dxa"/>
            </w:tcMar>
          </w:tcPr>
          <w:p>
            <w:pPr>
              <w:spacing w:before="0" w:after="20" w:line="252" w:lineRule="auto"/>
            </w:pPr>
            <w:r>
              <w:rPr>
                <w:sz w:val="18"/>
              </w:rPr>
              <w:t>Is the AI project linked to a documented hospital priority?</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Strategic alignment: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Data readiness</w:t>
            </w:r>
          </w:p>
        </w:tc>
        <w:tc>
          <w:tcPr>
            <w:tcW w:type="dxa" w:w="2592"/>
            <w:vAlign w:val="centre"/>
            <w:tcMar>
              <w:top w:w="80" w:type="dxa"/>
              <w:start w:w="80" w:type="dxa"/>
              <w:bottom w:w="80" w:type="dxa"/>
              <w:end w:w="80" w:type="dxa"/>
            </w:tcMar>
          </w:tcPr>
          <w:p>
            <w:pPr>
              <w:spacing w:before="0" w:after="20" w:line="252" w:lineRule="auto"/>
            </w:pPr>
            <w:r>
              <w:rPr>
                <w:sz w:val="18"/>
              </w:rPr>
              <w:t>Are relevant data complete, standardized, accessible, and lawful to use?</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Data readiness: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Infrastructure</w:t>
            </w:r>
          </w:p>
        </w:tc>
        <w:tc>
          <w:tcPr>
            <w:tcW w:type="dxa" w:w="2592"/>
            <w:vAlign w:val="centre"/>
            <w:tcMar>
              <w:top w:w="80" w:type="dxa"/>
              <w:start w:w="80" w:type="dxa"/>
              <w:bottom w:w="80" w:type="dxa"/>
              <w:end w:w="80" w:type="dxa"/>
            </w:tcMar>
          </w:tcPr>
          <w:p>
            <w:pPr>
              <w:spacing w:before="0" w:after="20" w:line="252" w:lineRule="auto"/>
            </w:pPr>
            <w:r>
              <w:rPr>
                <w:sz w:val="18"/>
              </w:rPr>
              <w:t>Can the system integrate with existing hospital platforms?</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Infrastructure: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Workforce</w:t>
            </w:r>
          </w:p>
        </w:tc>
        <w:tc>
          <w:tcPr>
            <w:tcW w:type="dxa" w:w="2592"/>
            <w:vAlign w:val="centre"/>
            <w:tcMar>
              <w:top w:w="80" w:type="dxa"/>
              <w:start w:w="80" w:type="dxa"/>
              <w:bottom w:w="80" w:type="dxa"/>
              <w:end w:w="80" w:type="dxa"/>
            </w:tcMar>
          </w:tcPr>
          <w:p>
            <w:pPr>
              <w:spacing w:before="0" w:after="20" w:line="252" w:lineRule="auto"/>
            </w:pPr>
            <w:r>
              <w:rPr>
                <w:sz w:val="18"/>
              </w:rPr>
              <w:t>Are users trained and ready to interpret AI outputs?</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Workforce: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Governance</w:t>
            </w:r>
          </w:p>
        </w:tc>
        <w:tc>
          <w:tcPr>
            <w:tcW w:type="dxa" w:w="2592"/>
            <w:vAlign w:val="centre"/>
            <w:tcMar>
              <w:top w:w="80" w:type="dxa"/>
              <w:start w:w="80" w:type="dxa"/>
              <w:bottom w:w="80" w:type="dxa"/>
              <w:end w:w="80" w:type="dxa"/>
            </w:tcMar>
          </w:tcPr>
          <w:p>
            <w:pPr>
              <w:spacing w:before="0" w:after="20" w:line="252" w:lineRule="auto"/>
            </w:pPr>
            <w:r>
              <w:rPr>
                <w:sz w:val="18"/>
              </w:rPr>
              <w:t>Are roles, accountability, and monitoring defined?</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Governance: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Economics</w:t>
            </w:r>
          </w:p>
        </w:tc>
        <w:tc>
          <w:tcPr>
            <w:tcW w:type="dxa" w:w="2592"/>
            <w:vAlign w:val="centre"/>
            <w:tcMar>
              <w:top w:w="80" w:type="dxa"/>
              <w:start w:w="80" w:type="dxa"/>
              <w:bottom w:w="80" w:type="dxa"/>
              <w:end w:w="80" w:type="dxa"/>
            </w:tcMar>
          </w:tcPr>
          <w:p>
            <w:pPr>
              <w:spacing w:before="0" w:after="20" w:line="252" w:lineRule="auto"/>
            </w:pPr>
            <w:r>
              <w:rPr>
                <w:sz w:val="18"/>
              </w:rPr>
              <w:t>Is there a full cost and budget impact assessment?</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Economics: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Ethics and equity</w:t>
            </w:r>
          </w:p>
        </w:tc>
        <w:tc>
          <w:tcPr>
            <w:tcW w:type="dxa" w:w="2592"/>
            <w:vAlign w:val="centre"/>
            <w:tcMar>
              <w:top w:w="80" w:type="dxa"/>
              <w:start w:w="80" w:type="dxa"/>
              <w:bottom w:w="80" w:type="dxa"/>
              <w:end w:w="80" w:type="dxa"/>
            </w:tcMar>
          </w:tcPr>
          <w:p>
            <w:pPr>
              <w:spacing w:before="0" w:after="20" w:line="252" w:lineRule="auto"/>
            </w:pPr>
            <w:r>
              <w:rPr>
                <w:sz w:val="18"/>
              </w:rPr>
              <w:t>Have fairness, trust, access, and patient implications been reviewed?</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Ethics and equity: evidence documented, limitations noted, and an accountable owner assigned.</w:t>
            </w:r>
          </w:p>
        </w:tc>
      </w:tr>
      <w:tr>
        <w:tc>
          <w:tcPr>
            <w:tcW w:type="dxa" w:w="2592"/>
            <w:vAlign w:val="centre"/>
            <w:tcMar>
              <w:top w:w="80" w:type="dxa"/>
              <w:start w:w="80" w:type="dxa"/>
              <w:bottom w:w="80" w:type="dxa"/>
              <w:end w:w="80" w:type="dxa"/>
            </w:tcMar>
          </w:tcPr>
          <w:p>
            <w:pPr>
              <w:spacing w:before="0" w:after="20" w:line="252" w:lineRule="auto"/>
            </w:pPr>
            <w:r>
              <w:rPr>
                <w:sz w:val="18"/>
              </w:rPr>
              <w:t>Cybersecurity</w:t>
            </w:r>
          </w:p>
        </w:tc>
        <w:tc>
          <w:tcPr>
            <w:tcW w:type="dxa" w:w="2592"/>
            <w:vAlign w:val="centre"/>
            <w:tcMar>
              <w:top w:w="80" w:type="dxa"/>
              <w:start w:w="80" w:type="dxa"/>
              <w:bottom w:w="80" w:type="dxa"/>
              <w:end w:w="80" w:type="dxa"/>
            </w:tcMar>
          </w:tcPr>
          <w:p>
            <w:pPr>
              <w:spacing w:before="0" w:after="20" w:line="252" w:lineRule="auto"/>
            </w:pPr>
            <w:r>
              <w:rPr>
                <w:sz w:val="18"/>
              </w:rPr>
              <w:t>Has the solution been assessed for privacy and resilience?</w:t>
            </w:r>
          </w:p>
        </w:tc>
        <w:tc>
          <w:tcPr>
            <w:tcW w:type="dxa" w:w="2592"/>
            <w:vAlign w:val="centre"/>
            <w:tcMar>
              <w:top w:w="80" w:type="dxa"/>
              <w:start w:w="80" w:type="dxa"/>
              <w:bottom w:w="80" w:type="dxa"/>
              <w:end w:w="80" w:type="dxa"/>
            </w:tcMar>
          </w:tcPr>
          <w:p>
            <w:pPr>
              <w:spacing w:before="0" w:after="20" w:line="252" w:lineRule="auto"/>
            </w:pPr>
            <w:r>
              <w:rPr>
                <w:sz w:val="18"/>
              </w:rPr>
              <w:t>3</w:t>
            </w:r>
          </w:p>
        </w:tc>
        <w:tc>
          <w:tcPr>
            <w:tcW w:type="dxa" w:w="2592"/>
            <w:vAlign w:val="centre"/>
            <w:tcMar>
              <w:top w:w="80" w:type="dxa"/>
              <w:start w:w="80" w:type="dxa"/>
              <w:bottom w:w="80" w:type="dxa"/>
              <w:end w:w="80" w:type="dxa"/>
            </w:tcMar>
          </w:tcPr>
          <w:p>
            <w:pPr>
              <w:spacing w:before="0" w:after="20" w:line="252" w:lineRule="auto"/>
            </w:pPr>
            <w:r>
              <w:rPr>
                <w:sz w:val="18"/>
              </w:rPr>
              <w:t>Illustrative response for Cybersecurity: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