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re"/>
      </w:pPr>
      <w:r>
        <w:rPr>
          <w:rFonts w:ascii="Arial" w:hAnsi="Arial"/>
          <w:color w:val="303236"/>
        </w:rPr>
        <w:t>AIHE-A — AI Readiness Assessment for Health Systems</w:t>
      </w:r>
    </w:p>
    <w:p>
      <w:r>
        <w:rPr>
          <w:rFonts w:ascii="Arial" w:hAnsi="Arial"/>
          <w:color w:val="595959"/>
          <w:sz w:val="17"/>
        </w:rPr>
        <w:t>Current digital location: Resource Set A — Decision Specification and Institutional Readiness. Stable resource ID retained for continuity across companion editions.</w:t>
      </w:r>
    </w:p>
    <w:p>
      <w:pPr>
        <w:jc w:val="centre"/>
      </w:pPr>
      <w:r>
        <w:rPr>
          <w:i/>
          <w:color w:val="595959"/>
        </w:rPr>
        <w:t>Digital Resource Companion</w:t>
      </w:r>
    </w:p>
    <w:tbl>
      <w:tblPr>
        <w:tblStyle w:val="TableGrid"/>
        <w:tblW w:type="auto" w:w="0"/>
        <w:jc w:val="centre"/>
        <w:tblLook w:firstColumn="1" w:firstRow="1" w:lastColumn="0" w:lastRow="0" w:noHBand="0" w:noVBand="1" w:val="04A0"/>
      </w:tblPr>
      <w:tblGrid>
        <w:gridCol w:w="5184"/>
        <w:gridCol w:w="5184"/>
      </w:tblGrid>
      <w:tr>
        <w:tc>
          <w:tcPr>
            <w:tcW w:type="dxa" w:w="5184"/>
            <w:shd w:fill="F5F0E7"/>
            <w:tcMar>
              <w:top w:w="80" w:type="dxa"/>
              <w:start w:w="80" w:type="dxa"/>
              <w:bottom w:w="80" w:type="dxa"/>
              <w:end w:w="80" w:type="dxa"/>
            </w:tcMar>
          </w:tcPr>
          <w:p>
            <w:r>
              <w:t>Resource ID</w:t>
            </w:r>
          </w:p>
        </w:tc>
        <w:tc>
          <w:tcPr>
            <w:tcW w:type="dxa" w:w="5184"/>
            <w:tcMar>
              <w:top w:w="80" w:type="dxa"/>
              <w:start w:w="80" w:type="dxa"/>
              <w:bottom w:w="80" w:type="dxa"/>
              <w:end w:w="80" w:type="dxa"/>
            </w:tcMar>
          </w:tcPr>
          <w:p>
            <w:r>
              <w:t>AIHE-A</w:t>
            </w:r>
          </w:p>
        </w:tc>
      </w:tr>
      <w:tr>
        <w:tc>
          <w:tcPr>
            <w:tcW w:type="dxa" w:w="5184"/>
            <w:shd w:fill="F5F0E7"/>
            <w:tcMar>
              <w:top w:w="80" w:type="dxa"/>
              <w:start w:w="80" w:type="dxa"/>
              <w:bottom w:w="80" w:type="dxa"/>
              <w:end w:w="80" w:type="dxa"/>
            </w:tcMar>
          </w:tcPr>
          <w:p>
            <w:r>
              <w:t>Version</w:t>
            </w:r>
          </w:p>
        </w:tc>
        <w:tc>
          <w:tcPr>
            <w:tcW w:type="dxa" w:w="5184"/>
            <w:tcMar>
              <w:top w:w="80" w:type="dxa"/>
              <w:start w:w="80" w:type="dxa"/>
              <w:bottom w:w="80" w:type="dxa"/>
              <w:end w:w="80" w:type="dxa"/>
            </w:tcMar>
            <w:vAlign w:val="centre"/>
          </w:tcPr>
          <w:p>
            <w:pPr>
              <w:jc w:val="left"/>
            </w:pPr>
            <w:r>
              <w:t>V1.0 | aligned to the twelve-chapter reference edition and Resource Sets A–D</w:t>
            </w:r>
          </w:p>
        </w:tc>
      </w:tr>
      <w:tr>
        <w:tc>
          <w:tcPr>
            <w:tcW w:type="dxa" w:w="5184"/>
            <w:shd w:fill="F5F0E7"/>
            <w:tcMar>
              <w:top w:w="80" w:type="dxa"/>
              <w:start w:w="80" w:type="dxa"/>
              <w:bottom w:w="80" w:type="dxa"/>
              <w:end w:w="80" w:type="dxa"/>
            </w:tcMar>
          </w:tcPr>
          <w:p>
            <w:r>
              <w:t>Last reviewed</w:t>
            </w:r>
          </w:p>
        </w:tc>
        <w:tc>
          <w:tcPr>
            <w:tcW w:type="dxa" w:w="5184"/>
            <w:tcMar>
              <w:top w:w="80" w:type="dxa"/>
              <w:start w:w="80" w:type="dxa"/>
              <w:bottom w:w="80" w:type="dxa"/>
              <w:end w:w="80" w:type="dxa"/>
            </w:tcMar>
          </w:tcPr>
          <w:p>
            <w:r>
              <w:t>2026-07-26</w:t>
            </w:r>
          </w:p>
        </w:tc>
      </w:tr>
      <w:tr>
        <w:tc>
          <w:tcPr>
            <w:tcW w:type="dxa" w:w="5184"/>
            <w:shd w:fill="F5F0E7"/>
            <w:tcMar>
              <w:top w:w="80" w:type="dxa"/>
              <w:start w:w="80" w:type="dxa"/>
              <w:bottom w:w="80" w:type="dxa"/>
              <w:end w:w="80" w:type="dxa"/>
            </w:tcMar>
          </w:tcPr>
          <w:p>
            <w:r>
              <w:t>Related chapters</w:t>
            </w:r>
          </w:p>
        </w:tc>
        <w:tc>
          <w:tcPr>
            <w:tcW w:type="dxa" w:w="5184"/>
            <w:tcMar>
              <w:top w:w="80" w:type="dxa"/>
              <w:start w:w="80" w:type="dxa"/>
              <w:bottom w:w="80" w:type="dxa"/>
              <w:end w:w="80" w:type="dxa"/>
            </w:tcMar>
            <w:vAlign w:val="centre"/>
          </w:tcPr>
          <w:p>
            <w:pPr>
              <w:jc w:val="left"/>
            </w:pPr>
            <w:r/>
            <w:r>
              <w:rPr>
                <w:b w:val="0"/>
                <w:sz w:val="18"/>
              </w:rPr>
              <w:t>Chapter 2: Institutional Readiness and Digital Foundations; Chapter 9: Problem-First Procurement and Vendor Governance; Chapter 4: Productivity, Work Redesign, and Implementation; Chapter 12: Decision Architecture and Lifecycle Governance</w:t>
            </w:r>
          </w:p>
        </w:tc>
      </w:tr>
      <w:tr>
        <w:tc>
          <w:tcPr>
            <w:tcW w:type="dxa" w:w="5184"/>
            <w:shd w:fill="F5F0E7"/>
            <w:tcMar>
              <w:top w:w="80" w:type="dxa"/>
              <w:start w:w="80" w:type="dxa"/>
              <w:bottom w:w="80" w:type="dxa"/>
              <w:end w:w="80" w:type="dxa"/>
            </w:tcMar>
          </w:tcPr>
          <w:p>
            <w:r>
              <w:t>Intended users</w:t>
            </w:r>
          </w:p>
        </w:tc>
        <w:tc>
          <w:tcPr>
            <w:tcW w:type="dxa" w:w="5184"/>
            <w:tcMar>
              <w:top w:w="80" w:type="dxa"/>
              <w:start w:w="80" w:type="dxa"/>
              <w:bottom w:w="80" w:type="dxa"/>
              <w:end w:w="80" w:type="dxa"/>
            </w:tcMar>
          </w:tcPr>
          <w:p>
            <w:r>
              <w:t>Students, instructors, hospital managers, clinicians, health economists, informatics, governance, and project teams</w:t>
            </w:r>
          </w:p>
        </w:tc>
      </w:tr>
    </w:tbl>
    <w:p>
      <w:r>
        <w:t>Status: Educational and practice-support instrument. This resource is not a validated clinical, regulatory, legal, or health-technology-assessment instrument. Adapt it to local requirements before use.</w:t>
      </w:r>
    </w:p>
    <w:p>
      <w:pPr>
        <w:pStyle w:val="Heading1"/>
      </w:pPr>
      <w:r>
        <w:t>How to use this resource</w:t>
      </w:r>
    </w:p>
    <w:p>
      <w:r>
        <w:t>Complete the fields with the multidisciplinary team. Record evidence sources, assumptions, limitations, owners, dates, and decision thresholds. Use synthetic or appropriately governed data only. The worked example is fictional and is provided as a synthetic demonstration.</w:t>
      </w:r>
    </w:p>
    <w:p>
      <w:r>
        <w:t>This digital resource provides a practical tool that can be adapted for institutional governance, project planning, or self-directed analysis. The tool is intentionally generic and should be localized to legal, regulatory, institutional, and clinical requirements before use.</w:t>
      </w:r>
    </w:p>
    <w:p>
      <w:r>
        <w:t>Table A.1. Digital Resource AIHE-A: AI Readiness Assessment for Health Systems</w:t>
      </w:r>
    </w:p>
    <w:tbl>
      <w:tblPr>
        <w:tblStyle w:val="TableGrid"/>
        <w:tblW w:type="auto" w:w="0"/>
        <w:jc w:val="centre"/>
        <w:tblLook w:firstColumn="1" w:firstRow="1" w:lastColumn="0" w:lastRow="0" w:noHBand="0" w:noVBand="1" w:val="04A0"/>
      </w:tblPr>
      <w:tblGrid>
        <w:gridCol w:w="2592"/>
        <w:gridCol w:w="2592"/>
        <w:gridCol w:w="2592"/>
        <w:gridCol w:w="2592"/>
      </w:tblGrid>
      <w:tr>
        <w:trPr>
          <w:tblHeader w:val="true"/>
        </w:trPr>
        <w:tc>
          <w:tcPr>
            <w:tcW w:type="dxa" w:w="2592"/>
            <w:vAlign w:val="centre"/>
            <w:tcMar>
              <w:top w:w="80" w:type="dxa"/>
              <w:start w:w="80" w:type="dxa"/>
              <w:bottom w:w="80" w:type="dxa"/>
              <w:end w:w="80" w:type="dxa"/>
            </w:tcMar>
            <w:shd w:fill="F5F0E7"/>
          </w:tcPr>
          <w:p>
            <w:r>
              <w:rPr>
                <w:b/>
              </w:rPr>
              <w:t>Domain</w:t>
            </w:r>
          </w:p>
        </w:tc>
        <w:tc>
          <w:tcPr>
            <w:tcW w:type="dxa" w:w="2592"/>
            <w:vAlign w:val="centre"/>
            <w:tcMar>
              <w:top w:w="80" w:type="dxa"/>
              <w:start w:w="80" w:type="dxa"/>
              <w:bottom w:w="80" w:type="dxa"/>
              <w:end w:w="80" w:type="dxa"/>
            </w:tcMar>
            <w:shd w:fill="F5F0E7"/>
          </w:tcPr>
          <w:p>
            <w:r>
              <w:rPr>
                <w:b/>
              </w:rPr>
              <w:t>Assessment question</w:t>
            </w:r>
          </w:p>
        </w:tc>
        <w:tc>
          <w:tcPr>
            <w:tcW w:type="dxa" w:w="2592"/>
            <w:vAlign w:val="centre"/>
            <w:tcMar>
              <w:top w:w="80" w:type="dxa"/>
              <w:start w:w="80" w:type="dxa"/>
              <w:bottom w:w="80" w:type="dxa"/>
              <w:end w:w="80" w:type="dxa"/>
            </w:tcMar>
            <w:shd w:fill="F5F0E7"/>
          </w:tcPr>
          <w:p>
            <w:r>
              <w:rPr>
                <w:b/>
              </w:rPr>
              <w:t>Score 0-3</w:t>
            </w:r>
          </w:p>
        </w:tc>
        <w:tc>
          <w:tcPr>
            <w:tcW w:type="dxa" w:w="2592"/>
            <w:vAlign w:val="centre"/>
            <w:tcMar>
              <w:top w:w="80" w:type="dxa"/>
              <w:start w:w="80" w:type="dxa"/>
              <w:bottom w:w="80" w:type="dxa"/>
              <w:end w:w="80" w:type="dxa"/>
            </w:tcMar>
            <w:shd w:fill="F5F0E7"/>
          </w:tcPr>
          <w:p>
            <w:r>
              <w:rPr>
                <w:b/>
              </w:rPr>
              <w:t>Evidence required</w:t>
            </w:r>
          </w:p>
        </w:tc>
      </w:tr>
      <w:tr>
        <w:tc>
          <w:tcPr>
            <w:tcW w:type="dxa" w:w="2592"/>
            <w:vAlign w:val="centre"/>
            <w:tcMar>
              <w:top w:w="80" w:type="dxa"/>
              <w:start w:w="80" w:type="dxa"/>
              <w:bottom w:w="80" w:type="dxa"/>
              <w:end w:w="80" w:type="dxa"/>
            </w:tcMar>
          </w:tcPr>
          <w:p>
            <w:r>
              <w:t>Strategic alignment</w:t>
            </w:r>
          </w:p>
        </w:tc>
        <w:tc>
          <w:tcPr>
            <w:tcW w:type="dxa" w:w="2592"/>
            <w:vAlign w:val="centre"/>
            <w:tcMar>
              <w:top w:w="80" w:type="dxa"/>
              <w:start w:w="80" w:type="dxa"/>
              <w:bottom w:w="80" w:type="dxa"/>
              <w:end w:w="80" w:type="dxa"/>
            </w:tcMar>
            <w:shd w:fill="FFF2CC"/>
          </w:tcPr>
          <w:p>
            <w:sdt>
              <w:sdtPr>
                <w:tag w:val="AIHE_A_F001"/>
                <w:alias w:val="AIHE_A_F001"/>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02"/>
                <w:alias w:val="AIHE_A_F002"/>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03"/>
                <w:alias w:val="AIHE_A_F003"/>
                <w:text/>
              </w:sdtPr>
              <w:sdtContent>
                <w:r>
                  <w:t>Click or tap here to enter text.</w:t>
                </w:r>
              </w:sdtContent>
            </w:sdt>
          </w:p>
        </w:tc>
      </w:tr>
      <w:tr>
        <w:tc>
          <w:tcPr>
            <w:tcW w:type="dxa" w:w="2592"/>
            <w:vAlign w:val="centre"/>
            <w:tcMar>
              <w:top w:w="80" w:type="dxa"/>
              <w:start w:w="80" w:type="dxa"/>
              <w:bottom w:w="80" w:type="dxa"/>
              <w:end w:w="80" w:type="dxa"/>
            </w:tcMar>
          </w:tcPr>
          <w:p>
            <w:r>
              <w:t>Data readiness</w:t>
            </w:r>
          </w:p>
        </w:tc>
        <w:tc>
          <w:tcPr>
            <w:tcW w:type="dxa" w:w="2592"/>
            <w:vAlign w:val="centre"/>
            <w:tcMar>
              <w:top w:w="80" w:type="dxa"/>
              <w:start w:w="80" w:type="dxa"/>
              <w:bottom w:w="80" w:type="dxa"/>
              <w:end w:w="80" w:type="dxa"/>
            </w:tcMar>
            <w:shd w:fill="FFF2CC"/>
          </w:tcPr>
          <w:p>
            <w:sdt>
              <w:sdtPr>
                <w:tag w:val="AIHE_A_F004"/>
                <w:alias w:val="AIHE_A_F004"/>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05"/>
                <w:alias w:val="AIHE_A_F005"/>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06"/>
                <w:alias w:val="AIHE_A_F006"/>
                <w:text/>
              </w:sdtPr>
              <w:sdtContent>
                <w:r>
                  <w:t>Click or tap here to enter text.</w:t>
                </w:r>
              </w:sdtContent>
            </w:sdt>
          </w:p>
        </w:tc>
      </w:tr>
      <w:tr>
        <w:tc>
          <w:tcPr>
            <w:tcW w:type="dxa" w:w="2592"/>
            <w:vAlign w:val="centre"/>
            <w:tcMar>
              <w:top w:w="80" w:type="dxa"/>
              <w:start w:w="80" w:type="dxa"/>
              <w:bottom w:w="80" w:type="dxa"/>
              <w:end w:w="80" w:type="dxa"/>
            </w:tcMar>
          </w:tcPr>
          <w:p>
            <w:r>
              <w:t>Infrastructure</w:t>
            </w:r>
          </w:p>
        </w:tc>
        <w:tc>
          <w:tcPr>
            <w:tcW w:type="dxa" w:w="2592"/>
            <w:vAlign w:val="centre"/>
            <w:tcMar>
              <w:top w:w="80" w:type="dxa"/>
              <w:start w:w="80" w:type="dxa"/>
              <w:bottom w:w="80" w:type="dxa"/>
              <w:end w:w="80" w:type="dxa"/>
            </w:tcMar>
            <w:shd w:fill="FFF2CC"/>
          </w:tcPr>
          <w:p>
            <w:sdt>
              <w:sdtPr>
                <w:tag w:val="AIHE_A_F007"/>
                <w:alias w:val="AIHE_A_F007"/>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08"/>
                <w:alias w:val="AIHE_A_F008"/>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09"/>
                <w:alias w:val="AIHE_A_F009"/>
                <w:text/>
              </w:sdtPr>
              <w:sdtContent>
                <w:r>
                  <w:t>Click or tap here to enter text.</w:t>
                </w:r>
              </w:sdtContent>
            </w:sdt>
          </w:p>
        </w:tc>
      </w:tr>
      <w:tr>
        <w:tc>
          <w:tcPr>
            <w:tcW w:type="dxa" w:w="2592"/>
            <w:vAlign w:val="centre"/>
            <w:tcMar>
              <w:top w:w="80" w:type="dxa"/>
              <w:start w:w="80" w:type="dxa"/>
              <w:bottom w:w="80" w:type="dxa"/>
              <w:end w:w="80" w:type="dxa"/>
            </w:tcMar>
          </w:tcPr>
          <w:p>
            <w:r>
              <w:t>Workforce</w:t>
            </w:r>
          </w:p>
        </w:tc>
        <w:tc>
          <w:tcPr>
            <w:tcW w:type="dxa" w:w="2592"/>
            <w:vAlign w:val="centre"/>
            <w:tcMar>
              <w:top w:w="80" w:type="dxa"/>
              <w:start w:w="80" w:type="dxa"/>
              <w:bottom w:w="80" w:type="dxa"/>
              <w:end w:w="80" w:type="dxa"/>
            </w:tcMar>
            <w:shd w:fill="FFF2CC"/>
          </w:tcPr>
          <w:p>
            <w:sdt>
              <w:sdtPr>
                <w:tag w:val="AIHE_A_F010"/>
                <w:alias w:val="AIHE_A_F010"/>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11"/>
                <w:alias w:val="AIHE_A_F011"/>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12"/>
                <w:alias w:val="AIHE_A_F012"/>
                <w:text/>
              </w:sdtPr>
              <w:sdtContent>
                <w:r>
                  <w:t>Click or tap here to enter text.</w:t>
                </w:r>
              </w:sdtContent>
            </w:sdt>
          </w:p>
        </w:tc>
      </w:tr>
      <w:tr>
        <w:tc>
          <w:tcPr>
            <w:tcW w:type="dxa" w:w="2592"/>
            <w:vAlign w:val="centre"/>
            <w:tcMar>
              <w:top w:w="80" w:type="dxa"/>
              <w:start w:w="80" w:type="dxa"/>
              <w:bottom w:w="80" w:type="dxa"/>
              <w:end w:w="80" w:type="dxa"/>
            </w:tcMar>
          </w:tcPr>
          <w:p>
            <w:r>
              <w:t>Governance</w:t>
            </w:r>
          </w:p>
        </w:tc>
        <w:tc>
          <w:tcPr>
            <w:tcW w:type="dxa" w:w="2592"/>
            <w:vAlign w:val="centre"/>
            <w:tcMar>
              <w:top w:w="80" w:type="dxa"/>
              <w:start w:w="80" w:type="dxa"/>
              <w:bottom w:w="80" w:type="dxa"/>
              <w:end w:w="80" w:type="dxa"/>
            </w:tcMar>
            <w:shd w:fill="FFF2CC"/>
          </w:tcPr>
          <w:p>
            <w:sdt>
              <w:sdtPr>
                <w:tag w:val="AIHE_A_F013"/>
                <w:alias w:val="AIHE_A_F013"/>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14"/>
                <w:alias w:val="AIHE_A_F014"/>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15"/>
                <w:alias w:val="AIHE_A_F015"/>
                <w:text/>
              </w:sdtPr>
              <w:sdtContent>
                <w:r>
                  <w:t>Click or tap here to enter text.</w:t>
                </w:r>
              </w:sdtContent>
            </w:sdt>
          </w:p>
        </w:tc>
      </w:tr>
      <w:tr>
        <w:tc>
          <w:tcPr>
            <w:tcW w:type="dxa" w:w="2592"/>
            <w:vAlign w:val="centre"/>
            <w:tcMar>
              <w:top w:w="80" w:type="dxa"/>
              <w:start w:w="80" w:type="dxa"/>
              <w:bottom w:w="80" w:type="dxa"/>
              <w:end w:w="80" w:type="dxa"/>
            </w:tcMar>
          </w:tcPr>
          <w:p>
            <w:r>
              <w:t>Economics</w:t>
            </w:r>
          </w:p>
        </w:tc>
        <w:tc>
          <w:tcPr>
            <w:tcW w:type="dxa" w:w="2592"/>
            <w:vAlign w:val="centre"/>
            <w:tcMar>
              <w:top w:w="80" w:type="dxa"/>
              <w:start w:w="80" w:type="dxa"/>
              <w:bottom w:w="80" w:type="dxa"/>
              <w:end w:w="80" w:type="dxa"/>
            </w:tcMar>
            <w:shd w:fill="FFF2CC"/>
          </w:tcPr>
          <w:p>
            <w:sdt>
              <w:sdtPr>
                <w:tag w:val="AIHE_A_F016"/>
                <w:alias w:val="AIHE_A_F016"/>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17"/>
                <w:alias w:val="AIHE_A_F017"/>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18"/>
                <w:alias w:val="AIHE_A_F018"/>
                <w:text/>
              </w:sdtPr>
              <w:sdtContent>
                <w:r>
                  <w:t>Click or tap here to enter text.</w:t>
                </w:r>
              </w:sdtContent>
            </w:sdt>
          </w:p>
        </w:tc>
      </w:tr>
      <w:tr>
        <w:tc>
          <w:tcPr>
            <w:tcW w:type="dxa" w:w="2592"/>
            <w:vAlign w:val="centre"/>
            <w:tcMar>
              <w:top w:w="80" w:type="dxa"/>
              <w:start w:w="80" w:type="dxa"/>
              <w:bottom w:w="80" w:type="dxa"/>
              <w:end w:w="80" w:type="dxa"/>
            </w:tcMar>
          </w:tcPr>
          <w:p>
            <w:r>
              <w:t>Ethics and equity</w:t>
            </w:r>
          </w:p>
        </w:tc>
        <w:tc>
          <w:tcPr>
            <w:tcW w:type="dxa" w:w="2592"/>
            <w:vAlign w:val="centre"/>
            <w:tcMar>
              <w:top w:w="80" w:type="dxa"/>
              <w:start w:w="80" w:type="dxa"/>
              <w:bottom w:w="80" w:type="dxa"/>
              <w:end w:w="80" w:type="dxa"/>
            </w:tcMar>
            <w:shd w:fill="FFF2CC"/>
          </w:tcPr>
          <w:p>
            <w:sdt>
              <w:sdtPr>
                <w:tag w:val="AIHE_A_F019"/>
                <w:alias w:val="AIHE_A_F019"/>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20"/>
                <w:alias w:val="AIHE_A_F020"/>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21"/>
                <w:alias w:val="AIHE_A_F021"/>
                <w:text/>
              </w:sdtPr>
              <w:sdtContent>
                <w:r>
                  <w:t>Click or tap here to enter text.</w:t>
                </w:r>
              </w:sdtContent>
            </w:sdt>
          </w:p>
        </w:tc>
      </w:tr>
      <w:tr>
        <w:tc>
          <w:tcPr>
            <w:tcW w:type="dxa" w:w="2592"/>
            <w:vAlign w:val="centre"/>
            <w:tcMar>
              <w:top w:w="80" w:type="dxa"/>
              <w:start w:w="80" w:type="dxa"/>
              <w:bottom w:w="80" w:type="dxa"/>
              <w:end w:w="80" w:type="dxa"/>
            </w:tcMar>
          </w:tcPr>
          <w:p>
            <w:r>
              <w:t>Cybersecurity</w:t>
            </w:r>
          </w:p>
        </w:tc>
        <w:tc>
          <w:tcPr>
            <w:tcW w:type="dxa" w:w="2592"/>
            <w:vAlign w:val="centre"/>
            <w:tcMar>
              <w:top w:w="80" w:type="dxa"/>
              <w:start w:w="80" w:type="dxa"/>
              <w:bottom w:w="80" w:type="dxa"/>
              <w:end w:w="80" w:type="dxa"/>
            </w:tcMar>
            <w:shd w:fill="FFF2CC"/>
          </w:tcPr>
          <w:p>
            <w:sdt>
              <w:sdtPr>
                <w:tag w:val="AIHE_A_F022"/>
                <w:alias w:val="AIHE_A_F022"/>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23"/>
                <w:alias w:val="AIHE_A_F023"/>
                <w:text/>
              </w:sdtPr>
              <w:sdtContent>
                <w:r>
                  <w:t>Click or tap here to enter text.</w:t>
                </w:r>
              </w:sdtContent>
            </w:sdt>
          </w:p>
        </w:tc>
        <w:tc>
          <w:tcPr>
            <w:tcW w:type="dxa" w:w="2592"/>
            <w:vAlign w:val="centre"/>
            <w:tcMar>
              <w:top w:w="80" w:type="dxa"/>
              <w:start w:w="80" w:type="dxa"/>
              <w:bottom w:w="80" w:type="dxa"/>
              <w:end w:w="80" w:type="dxa"/>
            </w:tcMar>
            <w:shd w:fill="FFF2CC"/>
          </w:tcPr>
          <w:p>
            <w:sdt>
              <w:sdtPr>
                <w:tag w:val="AIHE_A_F024"/>
                <w:alias w:val="AIHE_A_F024"/>
                <w:text/>
              </w:sdtPr>
              <w:sdtContent>
                <w:r>
                  <w:t>Click or tap here to enter text.</w:t>
                </w:r>
              </w:sdtContent>
            </w:sdt>
          </w:p>
        </w:tc>
      </w:tr>
    </w:tbl>
    <w:p/>
    <w:p>
      <w:pPr>
        <w:pStyle w:val="Heading1"/>
      </w:pPr>
      <w:r>
        <w:t>Decision and review record</w:t>
      </w:r>
    </w:p>
    <w:p>
      <w:r>
        <w:rPr>
          <w:b/>
        </w:rPr>
        <w:t xml:space="preserve">Overall conclusion: </w:t>
      </w:r>
      <w:sdt>
        <w:sdtPr>
          <w:tag w:val="AIHE_A_F025"/>
          <w:alias w:val="AIHE_A_F025"/>
          <w:text/>
        </w:sdtPr>
        <w:sdtContent>
          <w:r>
            <w:t>Click or tap here to enter text.</w:t>
          </w:r>
        </w:sdtContent>
      </w:sdt>
    </w:p>
    <w:p>
      <w:r>
        <w:rPr>
          <w:b/>
        </w:rPr>
        <w:t xml:space="preserve">Required conditions or remediation: </w:t>
      </w:r>
      <w:sdt>
        <w:sdtPr>
          <w:tag w:val="AIHE_A_F026"/>
          <w:alias w:val="AIHE_A_F026"/>
          <w:text/>
        </w:sdtPr>
        <w:sdtContent>
          <w:r>
            <w:t>Click or tap here to enter text.</w:t>
          </w:r>
        </w:sdtContent>
      </w:sdt>
    </w:p>
    <w:p>
      <w:r>
        <w:rPr>
          <w:b/>
        </w:rPr>
        <w:t xml:space="preserve">Accountable owner: </w:t>
      </w:r>
      <w:sdt>
        <w:sdtPr>
          <w:tag w:val="AIHE_A_F027"/>
          <w:alias w:val="AIHE_A_F027"/>
          <w:text/>
        </w:sdtPr>
        <w:sdtContent>
          <w:r>
            <w:t>Click or tap here to enter text.</w:t>
          </w:r>
        </w:sdtContent>
      </w:sdt>
    </w:p>
    <w:p>
      <w:r>
        <w:rPr>
          <w:b/>
        </w:rPr>
        <w:t xml:space="preserve">Approval date: </w:t>
      </w:r>
      <w:sdt>
        <w:sdtPr>
          <w:tag w:val="AIHE_A_F028"/>
          <w:alias w:val="AIHE_A_F028"/>
          <w:text/>
        </w:sdtPr>
        <w:sdtContent>
          <w:r>
            <w:t>Click or tap here to enter text.</w:t>
          </w:r>
        </w:sdtContent>
      </w:sdt>
    </w:p>
    <w:p>
      <w:r>
        <w:rPr>
          <w:b/>
        </w:rPr>
        <w:t xml:space="preserve">Next review date: </w:t>
      </w:r>
      <w:sdt>
        <w:sdtPr>
          <w:tag w:val="AIHE_A_F029"/>
          <w:alias w:val="AIHE_A_F029"/>
          <w:text/>
        </w:sdtPr>
        <w:sdtContent>
          <w:r>
            <w:t>Click or tap here to enter text.</w:t>
          </w:r>
        </w:sdtContent>
      </w:sdt>
    </w:p>
    <w:p>
      <w:r>
        <w:rPr>
          <w:b/>
        </w:rPr>
        <w:t xml:space="preserve">Version or change reference: </w:t>
      </w:r>
      <w:sdt>
        <w:sdtPr>
          <w:tag w:val="AIHE_A_F030"/>
          <w:alias w:val="AIHE_A_F030"/>
          <w:text/>
        </w:sdtPr>
        <w:sdtContent>
          <w:r>
            <w:t>Click or tap here to enter text.</w:t>
          </w:r>
        </w:sdtContent>
      </w:sdt>
    </w:p>
    <w:sectPr>
      <w:footerReference w:type="default" r:id="rId9"/>
      <w:headerReference w:type="default" r:id="rId10"/>
      <w:headerReference w:type="first" r:id="rId11"/>
      <w:footerReference w:type="first" r:id="rId12"/>
      <w:headerReference w:type="even" r:id="rId13"/>
      <w:footerReference w:type="even" r:id="rId14"/>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877567"/>
        <w:sz w:val="16"/>
      </w:rPr>
      <w:t xml:space="preserve">Muthana Zouri · Carmen Marinela Cumpăt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6B2230"/>
        <w:sz w:val="16"/>
      </w:rPr>
      <w:t>DIGITAL RESOURCE COMPANION · V1.0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re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re"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re"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6B223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30323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6B223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877567" w:themeColor="accent1"/>
      </w:pBdr>
      <w:spacing w:after="300" w:line="240" w:lineRule="auto"/>
      <w:contextualSpacing/>
    </w:pPr>
    <w:rPr>
      <w:rFonts w:asciiTheme="majorHAnsi" w:eastAsiaTheme="majorEastAsia" w:hAnsiTheme="majorHAnsi" w:cstheme="majorBidi" w:ascii="Aptos Display" w:hAnsi="Aptos Display"/>
      <w:color w:val="6B22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877567"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303236"/>
      <w:u w:val="single"/>
    </w:rPr>
  </w:style>
  <w:style w:type="character" w:styleId="IntenseReference">
    <w:name w:val="Intense Reference"/>
    <w:basedOn w:val="DefaultParagraphFont"/>
    <w:uiPriority w:val="32"/>
    <w:qFormat/>
    <w:rsid w:val="00FC693F"/>
    <w:rPr>
      <w:b/>
      <w:bCs/>
      <w:smallCaps/>
      <w:color w:val="303236"/>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lastRow">
      <w:pPr>
        <w:spacing w:before="0" w:after="0" w:line="240" w:lineRule="auto"/>
      </w:pPr>
      <w:rPr>
        <w:b/>
        <w:bCs/>
      </w:rPr>
      <w:tblPr/>
      <w:tcPr>
        <w:tcBorders>
          <w:top w:val="single" w:sz="8" w:space="0" w:color="877567" w:themeColor="accent1"/>
          <w:left w:val="nil"/>
          <w:bottom w:val="single" w:sz="8" w:space="0" w:color="877567"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303236"/>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303236"/>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303236"/>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77567"/>
      </w:tcPr>
    </w:tblStylePr>
    <w:tblStylePr w:type="lastRow">
      <w:pPr>
        <w:spacing w:before="0" w:after="0" w:line="240" w:lineRule="auto"/>
      </w:pPr>
      <w:rPr>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tcBorders>
      </w:tcPr>
    </w:tblStylePr>
    <w:tblStylePr w:type="firstCol">
      <w:rPr>
        <w:b/>
        <w:bCs/>
      </w:rPr>
    </w:tblStylePr>
    <w:tblStylePr w:type="lastCol">
      <w:rPr>
        <w:b/>
        <w:bCs/>
      </w:r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18" w:space="0" w:color="877567" w:themeColor="accent1"/>
          <w:right w:val="single" w:sz="8" w:space="0" w:color="877567" w:themeColor="accent1"/>
          <w:insideH w:val="nil"/>
          <w:insideV w:val="single" w:sz="8" w:space="0" w:color="877567"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77567" w:themeColor="accent1"/>
          <w:left w:val="single" w:sz="8" w:space="0" w:color="877567" w:themeColor="accent1"/>
          <w:bottom w:val="single" w:sz="8" w:space="0" w:color="877567" w:themeColor="accent1"/>
          <w:right w:val="single" w:sz="8" w:space="0" w:color="877567" w:themeColor="accent1"/>
          <w:insideH w:val="nil"/>
          <w:insideV w:val="single" w:sz="8" w:space="0" w:color="877567"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tcPr>
    </w:tblStylePr>
    <w:tblStylePr w:type="band1Vert">
      <w:tblPr/>
      <w:tcPr>
        <w:tcBorders>
          <w:top w:val="single" w:sz="8" w:space="0" w:color="877567" w:themeColor="accent1"/>
          <w:left w:val="single" w:sz="8" w:space="0" w:color="877567" w:themeColor="accent1"/>
          <w:bottom w:val="single" w:sz="8" w:space="0" w:color="877567" w:themeColor="accent1"/>
          <w:right w:val="single" w:sz="8" w:space="0" w:color="877567" w:themeColor="accent1"/>
        </w:tcBorders>
        <w:shd w:val="clear" w:color="auto" w:fill="F5F0E7"/>
      </w:tcPr>
    </w:tblStylePr>
    <w:tblStylePr w:type="band1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shd w:val="clear" w:color="auto" w:fill="F5F0E7"/>
      </w:tcPr>
    </w:tblStylePr>
    <w:tblStylePr w:type="band2Horz">
      <w:tblPr/>
      <w:tcPr>
        <w:tcBorders>
          <w:top w:val="single" w:sz="8" w:space="0" w:color="877567" w:themeColor="accent1"/>
          <w:left w:val="single" w:sz="8" w:space="0" w:color="877567" w:themeColor="accent1"/>
          <w:bottom w:val="single" w:sz="8" w:space="0" w:color="877567" w:themeColor="accent1"/>
          <w:right w:val="single" w:sz="8" w:space="0" w:color="877567" w:themeColor="accent1"/>
          <w:insideV w:val="single" w:sz="8" w:space="0" w:color="877567"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877567"/>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77567"/>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77567"/>
      </w:tcPr>
    </w:tblStylePr>
    <w:tblStylePr w:type="lastCol">
      <w:rPr>
        <w:b/>
        <w:bCs/>
        <w:color w:val="FFFFFF"/>
      </w:rPr>
      <w:tblPr/>
      <w:tcPr>
        <w:tcBorders>
          <w:left w:val="nil"/>
          <w:right w:val="nil"/>
          <w:insideH w:val="nil"/>
          <w:insideV w:val="nil"/>
        </w:tcBorders>
        <w:shd w:val="clear" w:color="auto" w:fill="877567"/>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877567" w:themeColor="accent1"/>
        <w:bottom w:val="single" w:sz="8" w:space="0" w:color="877567"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77567" w:themeColor="accent1"/>
        </w:tcBorders>
      </w:tcPr>
    </w:tblStylePr>
    <w:tblStylePr w:type="lastRow">
      <w:rPr>
        <w:b/>
        <w:bCs/>
        <w:color w:val="303236"/>
      </w:rPr>
      <w:tblPr/>
      <w:tcPr>
        <w:tcBorders>
          <w:top w:val="single" w:sz="8" w:space="0" w:color="877567" w:themeColor="accent1"/>
          <w:bottom w:val="single" w:sz="8" w:space="0" w:color="877567" w:themeColor="accent1"/>
        </w:tcBorders>
      </w:tcPr>
    </w:tblStylePr>
    <w:tblStylePr w:type="firstCol">
      <w:rPr>
        <w:b/>
        <w:bCs/>
      </w:rPr>
    </w:tblStylePr>
    <w:tblStylePr w:type="lastCol">
      <w:rPr>
        <w:b/>
        <w:bCs/>
      </w:rPr>
      <w:tblPr/>
      <w:tcPr>
        <w:tcBorders>
          <w:top w:val="single" w:sz="8" w:space="0" w:color="877567" w:themeColor="accent1"/>
          <w:bottom w:val="single" w:sz="8" w:space="0" w:color="877567"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877567" w:themeColor="accent1"/>
          <w:right w:val="nil"/>
          <w:insideH w:val="nil"/>
          <w:insideV w:val="nil"/>
        </w:tcBorders>
        <w:shd w:val="clear" w:color="auto" w:fill="FFFFFF"/>
      </w:tcPr>
    </w:tblStylePr>
    <w:tblStylePr w:type="lastRow">
      <w:tblPr/>
      <w:tcPr>
        <w:tcBorders>
          <w:top w:val="single" w:sz="8" w:space="0" w:color="877567"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877567" w:themeColor="accent1"/>
          <w:insideH w:val="nil"/>
          <w:insideV w:val="nil"/>
        </w:tcBorders>
        <w:shd w:val="clear" w:color="auto" w:fill="FFFFFF"/>
      </w:tcPr>
    </w:tblStylePr>
    <w:tblStylePr w:type="lastCol">
      <w:tblPr/>
      <w:tcPr>
        <w:tcBorders>
          <w:top w:val="nil"/>
          <w:left w:val="single" w:sz="8" w:space="0" w:color="877567"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77567" w:themeColor="accent1"/>
        <w:left w:val="single" w:sz="8" w:space="0" w:color="877567" w:themeColor="accent1"/>
        <w:bottom w:val="single" w:sz="8" w:space="0" w:color="877567" w:themeColor="accent1"/>
        <w:right w:val="single" w:sz="8" w:space="0" w:color="877567" w:themeColor="accent1"/>
        <w:insideH w:val="single" w:sz="8" w:space="0" w:color="877567" w:themeColor="accent1"/>
        <w:insideV w:val="single" w:sz="8" w:space="0" w:color="877567"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77567" w:themeColor="accent1"/>
          <w:insideV w:val="single" w:sz="6" w:space="0" w:color="877567"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77567"/>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877567"/>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877567"/>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77567"/>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877567"/>
      </w:tcPr>
    </w:tblStylePr>
    <w:tblStylePr w:type="lastCol">
      <w:tblPr/>
      <w:tcPr>
        <w:tcBorders>
          <w:top w:val="nil"/>
          <w:left w:val="single" w:sz="18" w:space="0" w:color="FFFFFF" w:themeColor="background1"/>
          <w:bottom w:val="nil"/>
          <w:right w:val="nil"/>
          <w:insideH w:val="nil"/>
          <w:insideV w:val="nil"/>
        </w:tcBorders>
        <w:shd w:val="clear" w:color="auto" w:fill="877567"/>
      </w:tcPr>
    </w:tblStylePr>
    <w:tblStylePr w:type="band1Vert">
      <w:tblPr/>
      <w:tcPr>
        <w:tcBorders>
          <w:top w:val="nil"/>
          <w:left w:val="nil"/>
          <w:bottom w:val="nil"/>
          <w:right w:val="nil"/>
          <w:insideH w:val="nil"/>
          <w:insideV w:val="nil"/>
        </w:tcBorders>
        <w:shd w:val="clear" w:color="auto" w:fill="877567"/>
      </w:tcPr>
    </w:tblStylePr>
    <w:tblStylePr w:type="band1Horz">
      <w:tblPr/>
      <w:tcPr>
        <w:tcBorders>
          <w:top w:val="nil"/>
          <w:left w:val="nil"/>
          <w:bottom w:val="nil"/>
          <w:right w:val="nil"/>
          <w:insideH w:val="nil"/>
          <w:insideV w:val="nil"/>
        </w:tcBorders>
        <w:shd w:val="clear" w:color="auto" w:fill="877567"/>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877567" w:themeColor="accent1"/>
        <w:bottom w:val="single" w:sz="4" w:space="0" w:color="877567" w:themeColor="accent1"/>
        <w:right w:val="single" w:sz="4" w:space="0" w:color="877567"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877567"/>
      </w:tcPr>
    </w:tblStylePr>
    <w:tblStylePr w:type="lastCol">
      <w:rPr>
        <w:color w:val="FFFFFF"/>
      </w:rPr>
      <w:tblPr/>
      <w:tcPr>
        <w:shd w:val="clear" w:color="auto" w:fill="877567"/>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032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3032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3032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30323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032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03236"/>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303236"/>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03236"/>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303236"/>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303236"/>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30323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03236"/>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303236"/>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303236"/>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303236"/>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03236"/>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03236"/>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303236"/>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30323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303236"/>
    </w:rPr>
  </w:style>
  <w:style w:type="character" w:customStyle="1" w:styleId="IntenseQuoteChar">
    <w:name w:val="Intense Quote Char"/>
    <w:basedOn w:val="DefaultParagraphFont"/>
    <w:link w:val="IntenseQuote"/>
    <w:uiPriority w:val="30"/>
    <w:rsid w:val="00FC693F"/>
    <w:rPr>
      <w:b/>
      <w:bCs/>
      <w:i/>
      <w:iCs/>
      <w:color w:val="303236"/>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303236"/>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03236"/>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303236"/>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5">
    <w:name w:val="Light Shading Accent 5"/>
    <w:basedOn w:val="TableNormal"/>
    <w:uiPriority w:val="60"/>
    <w:rsid w:val="00FC693F"/>
    <w:pPr>
      <w:spacing w:after="0" w:line="240" w:lineRule="auto"/>
    </w:pPr>
    <w:rPr>
      <w:color w:val="303236"/>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5F0E7"/>
      </w:tcPr>
    </w:tblStylePr>
    <w:tblStylePr w:type="band1Horz">
      <w:tblPr/>
      <w:tcPr>
        <w:tcBorders>
          <w:left w:val="nil"/>
          <w:right w:val="nil"/>
          <w:insideH w:val="nil"/>
          <w:insideV w:val="nil"/>
        </w:tcBorders>
        <w:shd w:val="clear" w:color="auto" w:fill="F5F0E7"/>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6B2230"/>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5F0E7"/>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5F0E7"/>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5F0E7"/>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5F0E7"/>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5F0E7"/>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5F0E7"/>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6B2230"/>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6B2230"/>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6B2230"/>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5F0E7"/>
      </w:tcPr>
    </w:tblStylePr>
    <w:tblStylePr w:type="band1Horz">
      <w:tblPr/>
      <w:tcPr>
        <w:tcBorders>
          <w:insideH w:val="nil"/>
          <w:insideV w:val="nil"/>
        </w:tcBorders>
        <w:shd w:val="clear" w:color="auto" w:fill="F5F0E7"/>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6B223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6B2230"/>
      </w:tcPr>
    </w:tblStylePr>
    <w:tblStylePr w:type="lastCol">
      <w:rPr>
        <w:b/>
        <w:bCs/>
        <w:color w:val="FFFFFF"/>
      </w:rPr>
      <w:tblPr/>
      <w:tcPr>
        <w:tcBorders>
          <w:left w:val="nil"/>
          <w:right w:val="nil"/>
          <w:insideH w:val="nil"/>
          <w:insideV w:val="nil"/>
        </w:tcBorders>
        <w:shd w:val="clear" w:color="auto" w:fill="6B223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303236"/>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303236"/>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5F0E7"/>
      </w:tcPr>
    </w:tblStylePr>
    <w:tblStylePr w:type="band1Horz">
      <w:tblPr/>
      <w:tcPr>
        <w:shd w:val="clear" w:color="auto" w:fill="F5F0E7"/>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303236"/>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303236"/>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303236"/>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5F0E7"/>
      </w:tcPr>
    </w:tblStylePr>
    <w:tblStylePr w:type="band1Horz">
      <w:tblPr/>
      <w:tcPr>
        <w:shd w:val="clear" w:color="auto" w:fill="F5F0E7"/>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303236"/>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5F0E7"/>
      </w:tcPr>
    </w:tblStylePr>
    <w:tblStylePr w:type="band1Horz">
      <w:tblPr/>
      <w:tcPr>
        <w:shd w:val="clear" w:color="auto" w:fill="F5F0E7"/>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303236"/>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cPr>
    </w:tblStylePr>
    <w:tblStylePr w:type="lastRow">
      <w:tblPr/>
      <w:tcPr>
        <w:tcBorders>
          <w:top w:val="single" w:sz="8" w:space="0" w:color="000000" w:themeColor="text1"/>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themeColor="text1"/>
          <w:insideH w:val="nil"/>
          <w:insideV w:val="nil"/>
        </w:tcBorders>
        <w:shd w:val="clear" w:color="auto" w:fill="FFFFFF"/>
      </w:tcPr>
    </w:tblStylePr>
    <w:tblStylePr w:type="lastCol">
      <w:tblPr/>
      <w:tcPr>
        <w:tcBorders>
          <w:top w:val="nil"/>
          <w:left w:val="single" w:sz="8" w:space="0" w:color="000000" w:themeColor="tex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cPr>
    </w:tblStylePr>
    <w:tblStylePr w:type="lastRow">
      <w:tblPr/>
      <w:tcPr>
        <w:tcBorders>
          <w:top w:val="single" w:sz="8" w:space="0" w:color="4F81BD" w:themeColor="accent1"/>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themeColor="accent1"/>
          <w:insideH w:val="nil"/>
          <w:insideV w:val="nil"/>
        </w:tcBorders>
        <w:shd w:val="clear" w:color="auto" w:fill="FFFFFF"/>
      </w:tcPr>
    </w:tblStylePr>
    <w:tblStylePr w:type="lastCol">
      <w:tblPr/>
      <w:tcPr>
        <w:tcBorders>
          <w:top w:val="nil"/>
          <w:left w:val="single" w:sz="8" w:space="0" w:color="4F81BD" w:themeColor="accent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cPr>
    </w:tblStylePr>
    <w:tblStylePr w:type="lastRow">
      <w:tblPr/>
      <w:tcPr>
        <w:tcBorders>
          <w:top w:val="single" w:sz="8" w:space="0" w:color="C0504D" w:themeColor="accent2"/>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themeColor="accent2"/>
          <w:insideH w:val="nil"/>
          <w:insideV w:val="nil"/>
        </w:tcBorders>
        <w:shd w:val="clear" w:color="auto" w:fill="FFFFFF"/>
      </w:tcPr>
    </w:tblStylePr>
    <w:tblStylePr w:type="lastCol">
      <w:tblPr/>
      <w:tcPr>
        <w:tcBorders>
          <w:top w:val="nil"/>
          <w:left w:val="single" w:sz="8" w:space="0" w:color="C0504D" w:themeColor="accent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cPr>
    </w:tblStylePr>
    <w:tblStylePr w:type="lastRow">
      <w:tblPr/>
      <w:tcPr>
        <w:tcBorders>
          <w:top w:val="single" w:sz="8" w:space="0" w:color="9BBB59" w:themeColor="accent3"/>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themeColor="accent3"/>
          <w:insideH w:val="nil"/>
          <w:insideV w:val="nil"/>
        </w:tcBorders>
        <w:shd w:val="clear" w:color="auto" w:fill="FFFFFF"/>
      </w:tcPr>
    </w:tblStylePr>
    <w:tblStylePr w:type="lastCol">
      <w:tblPr/>
      <w:tcPr>
        <w:tcBorders>
          <w:top w:val="nil"/>
          <w:left w:val="single" w:sz="8" w:space="0" w:color="9BBB59" w:themeColor="accent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cPr>
    </w:tblStylePr>
    <w:tblStylePr w:type="lastRow">
      <w:tblPr/>
      <w:tcPr>
        <w:tcBorders>
          <w:top w:val="single" w:sz="8" w:space="0" w:color="8064A2" w:themeColor="accent4"/>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themeColor="accent4"/>
          <w:insideH w:val="nil"/>
          <w:insideV w:val="nil"/>
        </w:tcBorders>
        <w:shd w:val="clear" w:color="auto" w:fill="FFFFFF"/>
      </w:tcPr>
    </w:tblStylePr>
    <w:tblStylePr w:type="lastCol">
      <w:tblPr/>
      <w:tcPr>
        <w:tcBorders>
          <w:top w:val="nil"/>
          <w:left w:val="single" w:sz="8" w:space="0" w:color="8064A2" w:themeColor="accent4"/>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cPr>
    </w:tblStylePr>
    <w:tblStylePr w:type="lastRow">
      <w:tblPr/>
      <w:tcPr>
        <w:tcBorders>
          <w:top w:val="single" w:sz="8" w:space="0" w:color="4BACC6" w:themeColor="accent5"/>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themeColor="accent5"/>
          <w:insideH w:val="nil"/>
          <w:insideV w:val="nil"/>
        </w:tcBorders>
        <w:shd w:val="clear" w:color="auto" w:fill="FFFFFF"/>
      </w:tcPr>
    </w:tblStylePr>
    <w:tblStylePr w:type="lastCol">
      <w:tblPr/>
      <w:tcPr>
        <w:tcBorders>
          <w:top w:val="nil"/>
          <w:left w:val="single" w:sz="8" w:space="0" w:color="4BACC6" w:themeColor="accent5"/>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5F0E7"/>
      </w:tcPr>
    </w:tblStylePr>
    <w:tblStylePr w:type="band1Horz">
      <w:tblPr/>
      <w:tcPr>
        <w:tcBorders>
          <w:top w:val="nil"/>
          <w:bottom w:val="nil"/>
          <w:insideH w:val="nil"/>
          <w:insideV w:val="nil"/>
        </w:tcBorders>
        <w:shd w:val="clear" w:color="auto" w:fill="F5F0E7"/>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cPr>
    </w:tblStylePr>
    <w:tblStylePr w:type="lastRow">
      <w:tblPr/>
      <w:tcPr>
        <w:tcBorders>
          <w:top w:val="single" w:sz="8" w:space="0" w:color="F79646" w:themeColor="accent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themeColor="accent6"/>
          <w:insideH w:val="nil"/>
          <w:insideV w:val="nil"/>
        </w:tcBorders>
        <w:shd w:val="clear" w:color="auto" w:fill="FFFFFF"/>
      </w:tcPr>
    </w:tblStylePr>
    <w:tblStylePr w:type="lastCol">
      <w:tblPr/>
      <w:tcPr>
        <w:tcBorders>
          <w:top w:val="nil"/>
          <w:left w:val="single" w:sz="8" w:space="0" w:color="F79646" w:themeColor="accent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F5F0E7"/>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5F0E7"/>
      </w:tcPr>
    </w:tblStylePr>
    <w:tblStylePr w:type="band1Horz">
      <w:tblPr/>
      <w:tcPr>
        <w:shd w:val="clear" w:color="auto" w:fill="F5F0E7"/>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themeColor="text1"/>
          <w:insideV w:val="single" w:sz="6" w:space="0" w:color="000000" w:themeColor="text1"/>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F81BD" w:themeColor="accent1"/>
          <w:insideV w:val="single" w:sz="6" w:space="0" w:color="4F81BD" w:themeColor="accent1"/>
        </w:tcBorders>
        <w:shd w:val="clear" w:color="auto" w:fill="F5F0E7"/>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themeColor="accent2"/>
          <w:insideV w:val="single" w:sz="6" w:space="0" w:color="C0504D" w:themeColor="accent2"/>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themeColor="accent3"/>
          <w:insideV w:val="single" w:sz="6" w:space="0" w:color="9BBB59" w:themeColor="accent3"/>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8064A2" w:themeColor="accent4"/>
          <w:insideV w:val="single" w:sz="6" w:space="0" w:color="8064A2" w:themeColor="accent4"/>
        </w:tcBorders>
        <w:shd w:val="clear" w:color="auto" w:fill="F5F0E7"/>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F5F0E7"/>
    </w:tcPr>
    <w:tblStylePr w:type="firstRow">
      <w:rPr>
        <w:b/>
        <w:bCs/>
        <w:color w:val="000000"/>
      </w:rPr>
      <w:tblPr/>
      <w:tcPr>
        <w:shd w:val="clear" w:color="auto" w:fill="F5F0E7"/>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5F0E7"/>
      </w:tcPr>
    </w:tblStylePr>
    <w:tblStylePr w:type="band1Vert">
      <w:tblPr/>
      <w:tcPr>
        <w:shd w:val="clear" w:color="auto" w:fill="F5F0E7"/>
      </w:tcPr>
    </w:tblStylePr>
    <w:tblStylePr w:type="band1Horz">
      <w:tblPr/>
      <w:tcPr>
        <w:tcBorders>
          <w:insideH w:val="single" w:sz="6" w:space="0" w:color="4BACC6" w:themeColor="accent5"/>
          <w:insideV w:val="single" w:sz="6" w:space="0" w:color="4BACC6" w:themeColor="accent5"/>
        </w:tcBorders>
        <w:shd w:val="clear" w:color="auto" w:fill="F5F0E7"/>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themeColor="accent6"/>
          <w:insideV w:val="single" w:sz="6" w:space="0" w:color="F79646" w:themeColor="accent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00000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00000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C0504D"/>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C0504D"/>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9BBB59"/>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9BBB59"/>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5F0E7"/>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B2230"/>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6B2230"/>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6B2230"/>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5F0E7"/>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5F0E7"/>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lastRow">
      <w:rPr>
        <w:b/>
        <w:bCs/>
        <w:i w:val="0"/>
        <w:iCs w:val="0"/>
        <w:color w:val="FFFFFF"/>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cPr>
    </w:tblStylePr>
    <w:tblStylePr w:type="firstCol">
      <w:rPr>
        <w:b/>
        <w:bCs/>
        <w:i w:val="0"/>
        <w:iCs w:val="0"/>
        <w:color w:val="FFFFFF"/>
      </w:rPr>
      <w:tblPr/>
      <w:tcPr>
        <w:tcBorders>
          <w:left w:val="single" w:sz="8" w:space="0" w:color="FFFFFF" w:themeColor="background1"/>
          <w:right w:val="single" w:sz="24" w:space="0" w:color="FFFFFF" w:themeColor="background1"/>
          <w:insideH w:val="nil"/>
          <w:insideV w:val="nil"/>
        </w:tcBorders>
        <w:shd w:val="clear" w:color="auto" w:fill="F79646"/>
      </w:tcPr>
    </w:tblStylePr>
    <w:tblStylePr w:type="lastCol">
      <w:rPr>
        <w:b/>
        <w:bCs/>
        <w:i w:val="0"/>
        <w:iCs w:val="0"/>
        <w:color w:val="FFFFFF"/>
      </w:rPr>
      <w:tblPr/>
      <w:tcPr>
        <w:tcBorders>
          <w:top w:val="nil"/>
          <w:left w:val="single" w:sz="24" w:space="0" w:color="FFFFFF" w:themeColor="background1"/>
          <w:bottom w:val="nil"/>
          <w:right w:val="nil"/>
          <w:insideH w:val="nil"/>
          <w:insideV w:val="nil"/>
        </w:tcBorders>
        <w:shd w:val="clear" w:color="auto" w:fill="F7964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themeColor="background1"/>
          <w:insideH w:val="nil"/>
          <w:insideV w:val="nil"/>
        </w:tcBorders>
        <w:shd w:val="clear" w:color="auto" w:fill="000000"/>
      </w:tcPr>
    </w:tblStylePr>
    <w:tblStylePr w:type="lastCol">
      <w:tblPr/>
      <w:tcPr>
        <w:tcBorders>
          <w:top w:val="nil"/>
          <w:left w:val="single" w:sz="18" w:space="0" w:color="FFFFFF" w:themeColor="background1"/>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themeColor="background1"/>
          <w:insideH w:val="nil"/>
          <w:insideV w:val="nil"/>
        </w:tcBorders>
        <w:shd w:val="clear" w:color="auto" w:fill="943634"/>
      </w:tcPr>
    </w:tblStylePr>
    <w:tblStylePr w:type="lastCol">
      <w:tblPr/>
      <w:tcPr>
        <w:tcBorders>
          <w:top w:val="nil"/>
          <w:left w:val="single" w:sz="18" w:space="0" w:color="FFFFFF" w:themeColor="background1"/>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themeColor="background1"/>
          <w:insideH w:val="nil"/>
          <w:insideV w:val="nil"/>
        </w:tcBorders>
        <w:shd w:val="clear" w:color="auto" w:fill="76923C"/>
      </w:tcPr>
    </w:tblStylePr>
    <w:tblStylePr w:type="lastCol">
      <w:tblPr/>
      <w:tcPr>
        <w:tcBorders>
          <w:top w:val="nil"/>
          <w:left w:val="single" w:sz="18" w:space="0" w:color="FFFFFF" w:themeColor="background1"/>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6B2230"/>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6B2230"/>
      </w:tcPr>
    </w:tblStylePr>
    <w:tblStylePr w:type="firstCol">
      <w:tblPr/>
      <w:tcPr>
        <w:tcBorders>
          <w:top w:val="nil"/>
          <w:left w:val="nil"/>
          <w:bottom w:val="nil"/>
          <w:right w:val="single" w:sz="18" w:space="0" w:color="FFFFFF" w:themeColor="background1"/>
          <w:insideH w:val="nil"/>
          <w:insideV w:val="nil"/>
        </w:tcBorders>
        <w:shd w:val="clear" w:color="auto" w:fill="6B2230"/>
      </w:tcPr>
    </w:tblStylePr>
    <w:tblStylePr w:type="lastCol">
      <w:tblPr/>
      <w:tcPr>
        <w:tcBorders>
          <w:top w:val="nil"/>
          <w:left w:val="single" w:sz="18" w:space="0" w:color="FFFFFF" w:themeColor="background1"/>
          <w:bottom w:val="nil"/>
          <w:right w:val="nil"/>
          <w:insideH w:val="nil"/>
          <w:insideV w:val="nil"/>
        </w:tcBorders>
        <w:shd w:val="clear" w:color="auto" w:fill="6B2230"/>
      </w:tcPr>
    </w:tblStylePr>
    <w:tblStylePr w:type="band1Vert">
      <w:tblPr/>
      <w:tcPr>
        <w:tcBorders>
          <w:top w:val="nil"/>
          <w:left w:val="nil"/>
          <w:bottom w:val="nil"/>
          <w:right w:val="nil"/>
          <w:insideH w:val="nil"/>
          <w:insideV w:val="nil"/>
        </w:tcBorders>
        <w:shd w:val="clear" w:color="auto" w:fill="6B2230"/>
      </w:tcPr>
    </w:tblStylePr>
    <w:tblStylePr w:type="band1Horz">
      <w:tblPr/>
      <w:tcPr>
        <w:tcBorders>
          <w:top w:val="nil"/>
          <w:left w:val="nil"/>
          <w:bottom w:val="nil"/>
          <w:right w:val="nil"/>
          <w:insideH w:val="nil"/>
          <w:insideV w:val="nil"/>
        </w:tcBorders>
        <w:shd w:val="clear" w:color="auto" w:fill="6B2230"/>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themeColor="background1"/>
          <w:right w:val="nil"/>
          <w:insideH w:val="nil"/>
          <w:insideV w:val="nil"/>
        </w:tcBorders>
        <w:shd w:val="clear" w:color="auto" w:fill="000000"/>
      </w:tcPr>
    </w:tblStylePr>
    <w:tblStylePr w:type="lastRow">
      <w:tblPr/>
      <w:tcPr>
        <w:tcBorders>
          <w:top w:val="single" w:sz="18" w:space="0" w:color="FFFFFF" w:themeColor="background1"/>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themeColor="background1"/>
          <w:insideH w:val="nil"/>
          <w:insideV w:val="nil"/>
        </w:tcBorders>
        <w:shd w:val="clear" w:color="auto" w:fill="E36C0A"/>
      </w:tcPr>
    </w:tblStylePr>
    <w:tblStylePr w:type="lastCol">
      <w:tblPr/>
      <w:tcPr>
        <w:tcBorders>
          <w:top w:val="nil"/>
          <w:left w:val="single" w:sz="18" w:space="0" w:color="FFFFFF" w:themeColor="background1"/>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000000"/>
      </w:tcPr>
    </w:tblStylePr>
    <w:tblStylePr w:type="firstCol">
      <w:rPr>
        <w:color w:val="FFFFFF"/>
      </w:rPr>
      <w:tblPr/>
      <w:tcPr>
        <w:tcBorders>
          <w:top w:val="nil"/>
          <w:left w:val="nil"/>
          <w:bottom w:val="nil"/>
          <w:right w:val="nil"/>
          <w:insideH w:val="single" w:sz="4" w:space="0" w:color="000000" w:themeColor="text1" w:themeShade="99"/>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C4C74" w:themeColor="accent1"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themeColor="accent2"/>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772C2A"/>
      </w:tcPr>
    </w:tblStylePr>
    <w:tblStylePr w:type="firstCol">
      <w:rPr>
        <w:color w:val="FFFFFF"/>
      </w:rPr>
      <w:tblPr/>
      <w:tcPr>
        <w:tcBorders>
          <w:top w:val="nil"/>
          <w:left w:val="nil"/>
          <w:bottom w:val="nil"/>
          <w:right w:val="nil"/>
          <w:insideH w:val="single" w:sz="4" w:space="0" w:color="772C2A" w:themeColor="accent2" w:themeShade="99"/>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themeColor="accent4"/>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5E7530"/>
      </w:tcPr>
    </w:tblStylePr>
    <w:tblStylePr w:type="firstCol">
      <w:rPr>
        <w:color w:val="FFFFFF"/>
      </w:rPr>
      <w:tblPr/>
      <w:tcPr>
        <w:tcBorders>
          <w:top w:val="nil"/>
          <w:left w:val="nil"/>
          <w:bottom w:val="nil"/>
          <w:right w:val="nil"/>
          <w:insideH w:val="single" w:sz="4" w:space="0" w:color="5E7530" w:themeColor="accent3" w:themeShade="99"/>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9BBB59" w:themeColor="accent3"/>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4C3B62" w:themeColor="accent4"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tcBorders>
          <w:top w:val="nil"/>
          <w:left w:val="nil"/>
          <w:bottom w:val="single" w:sz="24" w:space="0" w:color="F79646" w:themeColor="accent6"/>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6B2230"/>
      </w:tcPr>
    </w:tblStylePr>
    <w:tblStylePr w:type="firstCol">
      <w:rPr>
        <w:color w:val="FFFFFF"/>
      </w:rPr>
      <w:tblPr/>
      <w:tcPr>
        <w:tcBorders>
          <w:top w:val="nil"/>
          <w:left w:val="nil"/>
          <w:bottom w:val="nil"/>
          <w:right w:val="nil"/>
          <w:insideH w:val="single" w:sz="4" w:space="0" w:color="276A7C" w:themeColor="accent5" w:themeShade="99"/>
          <w:insideV w:val="nil"/>
        </w:tcBorders>
        <w:shd w:val="clear" w:color="auto" w:fill="6B2230"/>
      </w:tcPr>
    </w:tblStylePr>
    <w:tblStylePr w:type="lastCol">
      <w:rPr>
        <w:color w:val="FFFFFF"/>
      </w:rPr>
      <w:tblPr/>
      <w:tcPr>
        <w:tcBorders>
          <w:top w:val="nil"/>
          <w:left w:val="nil"/>
          <w:bottom w:val="nil"/>
          <w:right w:val="nil"/>
          <w:insideH w:val="nil"/>
          <w:insideV w:val="nil"/>
        </w:tcBorders>
        <w:shd w:val="clear" w:color="auto" w:fill="6B2230"/>
      </w:tcPr>
    </w:tblStylePr>
    <w:tblStylePr w:type="band1Vert">
      <w:tblPr/>
      <w:tcPr>
        <w:shd w:val="clear" w:color="auto" w:fill="F5F0E7"/>
      </w:tcPr>
    </w:tblStylePr>
    <w:tblStylePr w:type="band1Horz">
      <w:tblPr/>
      <w:tcPr>
        <w:shd w:val="clear" w:color="auto" w:fill="F5F0E7"/>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themeColor="accent5"/>
          <w:right w:val="nil"/>
          <w:insideH w:val="nil"/>
          <w:insideV w:val="nil"/>
        </w:tcBorders>
        <w:shd w:val="clear" w:color="auto" w:fill="FFFFFF"/>
      </w:tcPr>
    </w:tblStylePr>
    <w:tblStylePr w:type="lastRow">
      <w:rPr>
        <w:b/>
        <w:bCs/>
        <w:color w:val="FFFFFF"/>
      </w:rPr>
      <w:tblPr/>
      <w:tcPr>
        <w:tcBorders>
          <w:top w:val="single" w:sz="6" w:space="0" w:color="FFFFFF" w:themeColor="background1"/>
        </w:tcBorders>
        <w:shd w:val="clear" w:color="auto" w:fill="B65608"/>
      </w:tcPr>
    </w:tblStylePr>
    <w:tblStylePr w:type="firstCol">
      <w:rPr>
        <w:color w:val="FFFFFF"/>
      </w:rPr>
      <w:tblPr/>
      <w:tcPr>
        <w:tcBorders>
          <w:top w:val="nil"/>
          <w:left w:val="nil"/>
          <w:bottom w:val="nil"/>
          <w:right w:val="nil"/>
          <w:insideH w:val="single" w:sz="4" w:space="0" w:color="B65608" w:themeColor="accent6" w:themeShade="99"/>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hemeColor="background1"/>
        </w:tcBorders>
        <w:shd w:val="clear" w:color="auto" w:fill="9E3A38"/>
      </w:tcPr>
    </w:tblStylePr>
    <w:tblStylePr w:type="lastRow">
      <w:rPr>
        <w:b/>
        <w:bCs/>
        <w:color w:val="9E3A38"/>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7E9C40"/>
      </w:tcPr>
    </w:tblStylePr>
    <w:tblStylePr w:type="lastRow">
      <w:rPr>
        <w:b/>
        <w:bCs/>
        <w:color w:val="7E9C40"/>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0E7"/>
    </w:tcPr>
    <w:tblStylePr w:type="firstRow">
      <w:rPr>
        <w:b/>
        <w:bCs/>
        <w:color w:val="FFFFFF"/>
      </w:rPr>
      <w:tblPr/>
      <w:tcPr>
        <w:tcBorders>
          <w:bottom w:val="single" w:sz="12" w:space="0" w:color="FFFFFF" w:themeColor="background1"/>
        </w:tcBorders>
        <w:shd w:val="clear" w:color="auto" w:fill="F2730A"/>
      </w:tcPr>
    </w:tblStylePr>
    <w:tblStylePr w:type="lastRow">
      <w:rPr>
        <w:b/>
        <w:bCs/>
        <w:color w:val="F2730A"/>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5F0E7"/>
      </w:tcPr>
    </w:tblStylePr>
    <w:tblStylePr w:type="band1Horz">
      <w:tblPr/>
      <w:tcPr>
        <w:shd w:val="clear" w:color="auto" w:fill="F5F0E7"/>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hemeColor="background1"/>
        </w:tcBorders>
        <w:shd w:val="clear" w:color="auto" w:fill="6B2230"/>
      </w:tcPr>
    </w:tblStylePr>
    <w:tblStylePr w:type="lastRow">
      <w:rPr>
        <w:b/>
        <w:bCs/>
        <w:color w:val="303236"/>
      </w:rPr>
      <w:tblPr/>
      <w:tcPr>
        <w:tcBorders>
          <w:top w:val="single" w:sz="12" w:space="0" w:color="000000" w:themeColor="text1"/>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5F0E7"/>
    </w:tcPr>
    <w:tblStylePr w:type="firstRow">
      <w:rPr>
        <w:b/>
        <w:bCs/>
      </w:rPr>
      <w:tblPr/>
      <w:tcPr>
        <w:shd w:val="clear" w:color="auto" w:fill="F5F0E7"/>
      </w:tcPr>
    </w:tblStylePr>
    <w:tblStylePr w:type="lastRow">
      <w:rPr>
        <w:b/>
        <w:bCs/>
        <w:color w:val="000000"/>
      </w:rPr>
      <w:tblPr/>
      <w:tcPr>
        <w:shd w:val="clear" w:color="auto" w:fill="F5F0E7"/>
      </w:tcPr>
    </w:tblStylePr>
    <w:tblStylePr w:type="firstCol">
      <w:rPr>
        <w:color w:val="FFFFFF"/>
      </w:rPr>
      <w:tblPr/>
      <w:tcPr>
        <w:shd w:val="clear" w:color="auto" w:fill="6B2230"/>
      </w:tcPr>
    </w:tblStylePr>
    <w:tblStylePr w:type="lastCol">
      <w:rPr>
        <w:color w:val="FFFFFF"/>
      </w:rPr>
      <w:tblPr/>
      <w:tcPr>
        <w:shd w:val="clear" w:color="auto" w:fill="6B2230"/>
      </w:tcPr>
    </w:tblStylePr>
    <w:tblStylePr w:type="band1Vert">
      <w:tblPr/>
      <w:tcPr>
        <w:shd w:val="clear" w:color="auto" w:fill="F5F0E7"/>
      </w:tcPr>
    </w:tblStylePr>
    <w:tblStylePr w:type="band1Horz">
      <w:tblPr/>
      <w:tcPr>
        <w:shd w:val="clear" w:color="auto" w:fill="F5F0E7"/>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303236"/>
      </a:dk2>
      <a:lt2>
        <a:srgbClr val="F5F0E7"/>
      </a:lt2>
      <a:accent1>
        <a:srgbClr val="6B2230"/>
      </a:accent1>
      <a:accent2>
        <a:srgbClr val="BDA477"/>
      </a:accent2>
      <a:accent3>
        <a:srgbClr val="877567"/>
      </a:accent3>
      <a:accent4>
        <a:srgbClr val="303236"/>
      </a:accent4>
      <a:accent5>
        <a:srgbClr val="A36570"/>
      </a:accent5>
      <a:accent6>
        <a:srgbClr val="DDD0B7"/>
      </a:accent6>
      <a:hlink>
        <a:srgbClr val="6B2230"/>
      </a:hlink>
      <a:folHlink>
        <a:srgbClr val="877567"/>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Application/>
</Properties>
</file>

<file path=docProps/core.xml><?xml version="1.0" encoding="utf-8"?>
<cp:coreProperties xmlns:cp="http://schemas.openxmlformats.org/package/2006/metadata/core-properties" xmlns:dc="http://purl.org/dc/elements/1.1/" xmlns:dcterms="http://purl.org/dc/terms/" xmlns:xsi="http://www.w3.org/2001/XMLSchema-instance">
  <dc:title>Digital Resource Companion</dc:title>
  <dc:subject>Healthcare management, economics, evidence, and lifecycle governance</dc:subject>
  <dc:creator>Muthana Zouri; Carmen Marinela Cumpăt</dc:creator>
  <cp:lastModifiedBy/>
  <cp:revision>1</cp:revision>
</cp:coreProperties>
</file>