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AIHE-L — Health-System AI Readiness Maturity Assessment</w:t>
      </w:r>
    </w:p>
    <w:p>
      <w:r>
        <w:rPr>
          <w:rFonts w:ascii="Arial" w:hAnsi="Arial"/>
          <w:color w:val="595959"/>
          <w:sz w:val="17"/>
        </w:rPr>
        <w:t>Current digital location: Resource Set A — Decision Specification and Institutional Readiness.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AIHE-L</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2: Institutional Readiness and Digital Foundations; Chapter 4: Productivity, Work Redesign, and Implementation; Chapter 12: Decision Architecture and Lifecycle Governance</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Rate each readiness domain from 1 to 5. Use documentary and observational evidence rather than aspiration. Record the weakest critical domain and define prerequisites before selecting an AI ambition. A hospital may have different maturity levels across departments and use cases.</w:t>
      </w:r>
    </w:p>
    <w:p>
      <w:r>
        <w:t>Table L.1. Readiness maturity assessment.</w:t>
      </w:r>
    </w:p>
    <w:p>
      <w:r>
        <w:t>Table L.2. Readiness conclusion and capability plan.</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1995"/>
            <w:vAlign w:val="centre"/>
            <w:tcMar>
              <w:top w:w="80" w:type="dxa"/>
              <w:start w:w="80" w:type="dxa"/>
              <w:bottom w:w="80" w:type="dxa"/>
              <w:end w:w="80" w:type="dxa"/>
            </w:tcMar>
            <w:shd w:fill="F5F0E7"/>
          </w:tcPr>
          <w:p>
            <w:r>
              <w:rPr>
                <w:b/>
              </w:rPr>
              <w:t>Domain</w:t>
            </w:r>
          </w:p>
        </w:tc>
        <w:tc>
          <w:tcPr>
            <w:tcW w:type="dxa" w:w="1995"/>
            <w:vAlign w:val="centre"/>
            <w:tcMar>
              <w:top w:w="80" w:type="dxa"/>
              <w:start w:w="80" w:type="dxa"/>
              <w:bottom w:w="80" w:type="dxa"/>
              <w:end w:w="80" w:type="dxa"/>
            </w:tcMar>
            <w:shd w:fill="F5F0E7"/>
          </w:tcPr>
          <w:p>
            <w:r>
              <w:rPr>
                <w:b/>
              </w:rPr>
              <w:t>1 Fragmented</w:t>
            </w:r>
          </w:p>
        </w:tc>
        <w:tc>
          <w:tcPr>
            <w:tcW w:type="dxa" w:w="1995"/>
            <w:vAlign w:val="centre"/>
            <w:tcMar>
              <w:top w:w="80" w:type="dxa"/>
              <w:start w:w="80" w:type="dxa"/>
              <w:bottom w:w="80" w:type="dxa"/>
              <w:end w:w="80" w:type="dxa"/>
            </w:tcMar>
            <w:shd w:fill="F5F0E7"/>
          </w:tcPr>
          <w:p>
            <w:r>
              <w:rPr>
                <w:b/>
              </w:rPr>
              <w:t>2 Digitized</w:t>
            </w:r>
          </w:p>
        </w:tc>
        <w:tc>
          <w:tcPr>
            <w:tcW w:type="dxa" w:w="1995"/>
            <w:vAlign w:val="centre"/>
            <w:tcMar>
              <w:top w:w="80" w:type="dxa"/>
              <w:start w:w="80" w:type="dxa"/>
              <w:bottom w:w="80" w:type="dxa"/>
              <w:end w:w="80" w:type="dxa"/>
            </w:tcMar>
            <w:shd w:fill="F5F0E7"/>
          </w:tcPr>
          <w:p>
            <w:r>
              <w:rPr>
                <w:b/>
              </w:rPr>
              <w:t>3 Data-driven</w:t>
            </w:r>
          </w:p>
        </w:tc>
        <w:tc>
          <w:tcPr>
            <w:tcW w:type="dxa" w:w="1995"/>
            <w:vAlign w:val="centre"/>
            <w:tcMar>
              <w:top w:w="80" w:type="dxa"/>
              <w:start w:w="80" w:type="dxa"/>
              <w:bottom w:w="80" w:type="dxa"/>
              <w:end w:w="80" w:type="dxa"/>
            </w:tcMar>
            <w:shd w:fill="F5F0E7"/>
          </w:tcPr>
          <w:p>
            <w:r>
              <w:rPr>
                <w:b/>
              </w:rPr>
              <w:t>4 AI-assisted</w:t>
            </w:r>
          </w:p>
        </w:tc>
        <w:tc>
          <w:tcPr>
            <w:tcW w:type="dxa" w:w="1995"/>
            <w:vAlign w:val="centre"/>
            <w:tcMar>
              <w:top w:w="80" w:type="dxa"/>
              <w:start w:w="80" w:type="dxa"/>
              <w:bottom w:w="80" w:type="dxa"/>
              <w:end w:w="80" w:type="dxa"/>
            </w:tcMar>
            <w:shd w:fill="F5F0E7"/>
          </w:tcPr>
          <w:p>
            <w:r>
              <w:rPr>
                <w:b/>
              </w:rPr>
              <w:t>5 Learning AI-enabled</w:t>
            </w:r>
          </w:p>
        </w:tc>
        <w:tc>
          <w:tcPr>
            <w:tcW w:type="dxa" w:w="1995"/>
            <w:vAlign w:val="centre"/>
            <w:tcMar>
              <w:top w:w="80" w:type="dxa"/>
              <w:start w:w="80" w:type="dxa"/>
              <w:bottom w:w="80" w:type="dxa"/>
              <w:end w:w="80" w:type="dxa"/>
            </w:tcMar>
            <w:shd w:fill="F5F0E7"/>
          </w:tcPr>
          <w:p>
            <w:r>
              <w:rPr>
                <w:b/>
              </w:rPr>
              <w:t>Evidence / priority</w:t>
            </w:r>
          </w:p>
        </w:tc>
      </w:tr>
      <w:tr>
        <w:tc>
          <w:tcPr>
            <w:tcW w:type="dxa" w:w="1995"/>
            <w:vAlign w:val="centre"/>
            <w:tcMar>
              <w:top w:w="80" w:type="dxa"/>
              <w:start w:w="80" w:type="dxa"/>
              <w:bottom w:w="80" w:type="dxa"/>
              <w:end w:w="80" w:type="dxa"/>
            </w:tcMar>
          </w:tcPr>
          <w:p>
            <w:r>
              <w:t>Infrastructure</w:t>
            </w:r>
          </w:p>
        </w:tc>
        <w:tc>
          <w:tcPr>
            <w:tcW w:type="dxa" w:w="1995"/>
            <w:vAlign w:val="centre"/>
            <w:tcMar>
              <w:top w:w="80" w:type="dxa"/>
              <w:start w:w="80" w:type="dxa"/>
              <w:bottom w:w="80" w:type="dxa"/>
              <w:end w:w="80" w:type="dxa"/>
            </w:tcMar>
          </w:tcPr>
          <w:p>
            <w:r>
              <w:t>Disconnected or partly paper based</w:t>
            </w:r>
          </w:p>
        </w:tc>
        <w:tc>
          <w:tcPr>
            <w:tcW w:type="dxa" w:w="1995"/>
            <w:vAlign w:val="centre"/>
            <w:tcMar>
              <w:top w:w="80" w:type="dxa"/>
              <w:start w:w="80" w:type="dxa"/>
              <w:bottom w:w="80" w:type="dxa"/>
              <w:end w:w="80" w:type="dxa"/>
            </w:tcMar>
          </w:tcPr>
          <w:p>
            <w:r>
              <w:t>Core systems; reliability gaps</w:t>
            </w:r>
          </w:p>
        </w:tc>
        <w:tc>
          <w:tcPr>
            <w:tcW w:type="dxa" w:w="1995"/>
            <w:vAlign w:val="centre"/>
            <w:tcMar>
              <w:top w:w="80" w:type="dxa"/>
              <w:start w:w="80" w:type="dxa"/>
              <w:bottom w:w="80" w:type="dxa"/>
              <w:end w:w="80" w:type="dxa"/>
            </w:tcMar>
          </w:tcPr>
          <w:p>
            <w:r>
              <w:t>Reliable platforms and reporting</w:t>
            </w:r>
          </w:p>
        </w:tc>
        <w:tc>
          <w:tcPr>
            <w:tcW w:type="dxa" w:w="1995"/>
            <w:vAlign w:val="centre"/>
            <w:tcMar>
              <w:top w:w="80" w:type="dxa"/>
              <w:start w:w="80" w:type="dxa"/>
              <w:bottom w:w="80" w:type="dxa"/>
              <w:end w:w="80" w:type="dxa"/>
            </w:tcMar>
          </w:tcPr>
          <w:p>
            <w:r>
              <w:t>Integrated services support scoped AI</w:t>
            </w:r>
          </w:p>
        </w:tc>
        <w:tc>
          <w:tcPr>
            <w:tcW w:type="dxa" w:w="1995"/>
            <w:vAlign w:val="centre"/>
            <w:tcMar>
              <w:top w:w="80" w:type="dxa"/>
              <w:start w:w="80" w:type="dxa"/>
              <w:bottom w:w="80" w:type="dxa"/>
              <w:end w:w="80" w:type="dxa"/>
            </w:tcMar>
          </w:tcPr>
          <w:p>
            <w:r>
              <w:t>Resilient architecture and lifecycle tooling</w:t>
            </w:r>
          </w:p>
        </w:tc>
        <w:tc>
          <w:tcPr>
            <w:tcW w:type="dxa" w:w="1995"/>
            <w:vAlign w:val="centre"/>
            <w:tcMar>
              <w:top w:w="80" w:type="dxa"/>
              <w:start w:w="80" w:type="dxa"/>
              <w:bottom w:w="80" w:type="dxa"/>
              <w:end w:w="80" w:type="dxa"/>
            </w:tcMar>
          </w:tcPr>
          <w:p>
            <w:r>
              <w:t>Illustrative response for Infrastructure: evidence documented, limitations noted, and an accountable owner assigned.</w:t>
            </w:r>
          </w:p>
        </w:tc>
      </w:tr>
      <w:tr>
        <w:tc>
          <w:tcPr>
            <w:tcW w:type="dxa" w:w="1995"/>
            <w:vAlign w:val="centre"/>
            <w:tcMar>
              <w:top w:w="80" w:type="dxa"/>
              <w:start w:w="80" w:type="dxa"/>
              <w:bottom w:w="80" w:type="dxa"/>
              <w:end w:w="80" w:type="dxa"/>
            </w:tcMar>
          </w:tcPr>
          <w:p>
            <w:r>
              <w:t>Interoperability</w:t>
            </w:r>
          </w:p>
        </w:tc>
        <w:tc>
          <w:tcPr>
            <w:tcW w:type="dxa" w:w="1995"/>
            <w:vAlign w:val="centre"/>
            <w:tcMar>
              <w:top w:w="80" w:type="dxa"/>
              <w:start w:w="80" w:type="dxa"/>
              <w:bottom w:w="80" w:type="dxa"/>
              <w:end w:w="80" w:type="dxa"/>
            </w:tcMar>
          </w:tcPr>
          <w:p>
            <w:r>
              <w:t>Manual transfer and duplicate entry</w:t>
            </w:r>
          </w:p>
        </w:tc>
        <w:tc>
          <w:tcPr>
            <w:tcW w:type="dxa" w:w="1995"/>
            <w:vAlign w:val="centre"/>
            <w:tcMar>
              <w:top w:w="80" w:type="dxa"/>
              <w:start w:w="80" w:type="dxa"/>
              <w:bottom w:w="80" w:type="dxa"/>
              <w:end w:w="80" w:type="dxa"/>
            </w:tcMar>
          </w:tcPr>
          <w:p>
            <w:r>
              <w:t>Point interfaces and inconsistent identifiers</w:t>
            </w:r>
          </w:p>
        </w:tc>
        <w:tc>
          <w:tcPr>
            <w:tcW w:type="dxa" w:w="1995"/>
            <w:vAlign w:val="centre"/>
            <w:tcMar>
              <w:top w:w="80" w:type="dxa"/>
              <w:start w:w="80" w:type="dxa"/>
              <w:bottom w:w="80" w:type="dxa"/>
              <w:end w:w="80" w:type="dxa"/>
            </w:tcMar>
          </w:tcPr>
          <w:p>
            <w:r>
              <w:t>Defined exchange and common identifiers</w:t>
            </w:r>
          </w:p>
        </w:tc>
        <w:tc>
          <w:tcPr>
            <w:tcW w:type="dxa" w:w="1995"/>
            <w:vAlign w:val="centre"/>
            <w:tcMar>
              <w:top w:w="80" w:type="dxa"/>
              <w:start w:w="80" w:type="dxa"/>
              <w:bottom w:w="80" w:type="dxa"/>
              <w:end w:w="80" w:type="dxa"/>
            </w:tcMar>
          </w:tcPr>
          <w:p>
            <w:r>
              <w:t>Use-case standards and provenance</w:t>
            </w:r>
          </w:p>
        </w:tc>
        <w:tc>
          <w:tcPr>
            <w:tcW w:type="dxa" w:w="1995"/>
            <w:vAlign w:val="centre"/>
            <w:tcMar>
              <w:top w:w="80" w:type="dxa"/>
              <w:start w:w="80" w:type="dxa"/>
              <w:bottom w:w="80" w:type="dxa"/>
              <w:end w:w="80" w:type="dxa"/>
            </w:tcMar>
          </w:tcPr>
          <w:p>
            <w:r>
              <w:t>Semantic interoperability and continuous quality</w:t>
            </w:r>
          </w:p>
        </w:tc>
        <w:tc>
          <w:tcPr>
            <w:tcW w:type="dxa" w:w="1995"/>
            <w:vAlign w:val="centre"/>
            <w:tcMar>
              <w:top w:w="80" w:type="dxa"/>
              <w:start w:w="80" w:type="dxa"/>
              <w:bottom w:w="80" w:type="dxa"/>
              <w:end w:w="80" w:type="dxa"/>
            </w:tcMar>
          </w:tcPr>
          <w:p>
            <w:r>
              <w:t>Illustrative response for Interoperability: evidence documented, limitations noted, and an accountable owner assigned.</w:t>
            </w:r>
          </w:p>
        </w:tc>
      </w:tr>
      <w:tr>
        <w:tc>
          <w:tcPr>
            <w:tcW w:type="dxa" w:w="1995"/>
            <w:vAlign w:val="centre"/>
            <w:tcMar>
              <w:top w:w="80" w:type="dxa"/>
              <w:start w:w="80" w:type="dxa"/>
              <w:bottom w:w="80" w:type="dxa"/>
              <w:end w:w="80" w:type="dxa"/>
            </w:tcMar>
          </w:tcPr>
          <w:p>
            <w:r>
              <w:t>Data quality</w:t>
            </w:r>
          </w:p>
        </w:tc>
        <w:tc>
          <w:tcPr>
            <w:tcW w:type="dxa" w:w="1995"/>
            <w:vAlign w:val="centre"/>
            <w:tcMar>
              <w:top w:w="80" w:type="dxa"/>
              <w:start w:w="80" w:type="dxa"/>
              <w:bottom w:w="80" w:type="dxa"/>
              <w:end w:w="80" w:type="dxa"/>
            </w:tcMar>
          </w:tcPr>
          <w:p>
            <w:r>
              <w:t>Unknown or inconsistent</w:t>
            </w:r>
          </w:p>
        </w:tc>
        <w:tc>
          <w:tcPr>
            <w:tcW w:type="dxa" w:w="1995"/>
            <w:vAlign w:val="centre"/>
            <w:tcMar>
              <w:top w:w="80" w:type="dxa"/>
              <w:start w:w="80" w:type="dxa"/>
              <w:bottom w:w="80" w:type="dxa"/>
              <w:end w:w="80" w:type="dxa"/>
            </w:tcMar>
          </w:tcPr>
          <w:p>
            <w:r>
              <w:t>Periodic manual checks</w:t>
            </w:r>
          </w:p>
        </w:tc>
        <w:tc>
          <w:tcPr>
            <w:tcW w:type="dxa" w:w="1995"/>
            <w:vAlign w:val="centre"/>
            <w:tcMar>
              <w:top w:w="80" w:type="dxa"/>
              <w:start w:w="80" w:type="dxa"/>
              <w:bottom w:w="80" w:type="dxa"/>
              <w:end w:w="80" w:type="dxa"/>
            </w:tcMar>
          </w:tcPr>
          <w:p>
            <w:r>
              <w:t>Defined indicators and ownership</w:t>
            </w:r>
          </w:p>
        </w:tc>
        <w:tc>
          <w:tcPr>
            <w:tcW w:type="dxa" w:w="1995"/>
            <w:vAlign w:val="centre"/>
            <w:tcMar>
              <w:top w:w="80" w:type="dxa"/>
              <w:start w:w="80" w:type="dxa"/>
              <w:bottom w:w="80" w:type="dxa"/>
              <w:end w:w="80" w:type="dxa"/>
            </w:tcMar>
          </w:tcPr>
          <w:p>
            <w:r>
              <w:t>Use-case controls and validation</w:t>
            </w:r>
          </w:p>
        </w:tc>
        <w:tc>
          <w:tcPr>
            <w:tcW w:type="dxa" w:w="1995"/>
            <w:vAlign w:val="centre"/>
            <w:tcMar>
              <w:top w:w="80" w:type="dxa"/>
              <w:start w:w="80" w:type="dxa"/>
              <w:bottom w:w="80" w:type="dxa"/>
              <w:end w:w="80" w:type="dxa"/>
            </w:tcMar>
          </w:tcPr>
          <w:p>
            <w:r>
              <w:t>Automated drift and quality surveillance</w:t>
            </w:r>
          </w:p>
        </w:tc>
        <w:tc>
          <w:tcPr>
            <w:tcW w:type="dxa" w:w="1995"/>
            <w:vAlign w:val="centre"/>
            <w:tcMar>
              <w:top w:w="80" w:type="dxa"/>
              <w:start w:w="80" w:type="dxa"/>
              <w:bottom w:w="80" w:type="dxa"/>
              <w:end w:w="80" w:type="dxa"/>
            </w:tcMar>
          </w:tcPr>
          <w:p>
            <w:r>
              <w:t>Illustrative response for Data quality: evidence documented, limitations noted, and an accountable owner assigned.</w:t>
            </w:r>
          </w:p>
        </w:tc>
      </w:tr>
      <w:tr>
        <w:tc>
          <w:tcPr>
            <w:tcW w:type="dxa" w:w="1995"/>
            <w:vAlign w:val="centre"/>
            <w:tcMar>
              <w:top w:w="80" w:type="dxa"/>
              <w:start w:w="80" w:type="dxa"/>
              <w:bottom w:w="80" w:type="dxa"/>
              <w:end w:w="80" w:type="dxa"/>
            </w:tcMar>
          </w:tcPr>
          <w:p>
            <w:r>
              <w:t>Governance</w:t>
            </w:r>
          </w:p>
        </w:tc>
        <w:tc>
          <w:tcPr>
            <w:tcW w:type="dxa" w:w="1995"/>
            <w:vAlign w:val="centre"/>
            <w:tcMar>
              <w:top w:w="80" w:type="dxa"/>
              <w:start w:w="80" w:type="dxa"/>
              <w:bottom w:w="80" w:type="dxa"/>
              <w:end w:w="80" w:type="dxa"/>
            </w:tcMar>
          </w:tcPr>
          <w:p>
            <w:r>
              <w:t>Ad hoc and unclear ownership</w:t>
            </w:r>
          </w:p>
        </w:tc>
        <w:tc>
          <w:tcPr>
            <w:tcW w:type="dxa" w:w="1995"/>
            <w:vAlign w:val="centre"/>
            <w:tcMar>
              <w:top w:w="80" w:type="dxa"/>
              <w:start w:w="80" w:type="dxa"/>
              <w:bottom w:w="80" w:type="dxa"/>
              <w:end w:w="80" w:type="dxa"/>
            </w:tcMar>
          </w:tcPr>
          <w:p>
            <w:r>
              <w:t>Digital/data committees</w:t>
            </w:r>
          </w:p>
        </w:tc>
        <w:tc>
          <w:tcPr>
            <w:tcW w:type="dxa" w:w="1995"/>
            <w:vAlign w:val="centre"/>
            <w:tcMar>
              <w:top w:w="80" w:type="dxa"/>
              <w:start w:w="80" w:type="dxa"/>
              <w:bottom w:w="80" w:type="dxa"/>
              <w:end w:w="80" w:type="dxa"/>
            </w:tcMar>
          </w:tcPr>
          <w:p>
            <w:r>
              <w:t>Formal policies and decision records</w:t>
            </w:r>
          </w:p>
        </w:tc>
        <w:tc>
          <w:tcPr>
            <w:tcW w:type="dxa" w:w="1995"/>
            <w:vAlign w:val="centre"/>
            <w:tcMar>
              <w:top w:w="80" w:type="dxa"/>
              <w:start w:w="80" w:type="dxa"/>
              <w:bottom w:w="80" w:type="dxa"/>
              <w:end w:w="80" w:type="dxa"/>
            </w:tcMar>
          </w:tcPr>
          <w:p>
            <w:r>
              <w:t>AI governance, impact review, named owners</w:t>
            </w:r>
          </w:p>
        </w:tc>
        <w:tc>
          <w:tcPr>
            <w:tcW w:type="dxa" w:w="1995"/>
            <w:vAlign w:val="centre"/>
            <w:tcMar>
              <w:top w:w="80" w:type="dxa"/>
              <w:start w:w="80" w:type="dxa"/>
              <w:bottom w:w="80" w:type="dxa"/>
              <w:end w:w="80" w:type="dxa"/>
            </w:tcMar>
          </w:tcPr>
          <w:p>
            <w:r>
              <w:t>Integrated management system and portfolio learning</w:t>
            </w:r>
          </w:p>
        </w:tc>
        <w:tc>
          <w:tcPr>
            <w:tcW w:type="dxa" w:w="1995"/>
            <w:vAlign w:val="centre"/>
            <w:tcMar>
              <w:top w:w="80" w:type="dxa"/>
              <w:start w:w="80" w:type="dxa"/>
              <w:bottom w:w="80" w:type="dxa"/>
              <w:end w:w="80" w:type="dxa"/>
            </w:tcMar>
          </w:tcPr>
          <w:p>
            <w:r>
              <w:t>Illustrative response for Governance: evidence documented, limitations noted, and an accountable owner assigned.</w:t>
            </w:r>
          </w:p>
        </w:tc>
      </w:tr>
      <w:tr>
        <w:tc>
          <w:tcPr>
            <w:tcW w:type="dxa" w:w="1995"/>
            <w:vAlign w:val="centre"/>
            <w:tcMar>
              <w:top w:w="80" w:type="dxa"/>
              <w:start w:w="80" w:type="dxa"/>
              <w:bottom w:w="80" w:type="dxa"/>
              <w:end w:w="80" w:type="dxa"/>
            </w:tcMar>
          </w:tcPr>
          <w:p>
            <w:r>
              <w:t>Economics</w:t>
            </w:r>
          </w:p>
        </w:tc>
        <w:tc>
          <w:tcPr>
            <w:tcW w:type="dxa" w:w="1995"/>
            <w:vAlign w:val="centre"/>
            <w:tcMar>
              <w:top w:w="80" w:type="dxa"/>
              <w:start w:w="80" w:type="dxa"/>
              <w:bottom w:w="80" w:type="dxa"/>
              <w:end w:w="80" w:type="dxa"/>
            </w:tcMar>
          </w:tcPr>
          <w:p>
            <w:r>
              <w:t>Price-focused</w:t>
            </w:r>
          </w:p>
        </w:tc>
        <w:tc>
          <w:tcPr>
            <w:tcW w:type="dxa" w:w="1995"/>
            <w:vAlign w:val="centre"/>
            <w:tcMar>
              <w:top w:w="80" w:type="dxa"/>
              <w:start w:w="80" w:type="dxa"/>
              <w:bottom w:w="80" w:type="dxa"/>
              <w:end w:w="80" w:type="dxa"/>
            </w:tcMar>
          </w:tcPr>
          <w:p>
            <w:r>
              <w:t>Basic business case</w:t>
            </w:r>
          </w:p>
        </w:tc>
        <w:tc>
          <w:tcPr>
            <w:tcW w:type="dxa" w:w="1995"/>
            <w:vAlign w:val="centre"/>
            <w:tcMar>
              <w:top w:w="80" w:type="dxa"/>
              <w:start w:w="80" w:type="dxa"/>
              <w:bottom w:w="80" w:type="dxa"/>
              <w:end w:w="80" w:type="dxa"/>
            </w:tcMar>
          </w:tcPr>
          <w:p>
            <w:r>
              <w:t>Budget and benefit tracking</w:t>
            </w:r>
          </w:p>
        </w:tc>
        <w:tc>
          <w:tcPr>
            <w:tcW w:type="dxa" w:w="1995"/>
            <w:vAlign w:val="centre"/>
            <w:tcMar>
              <w:top w:w="80" w:type="dxa"/>
              <w:start w:w="80" w:type="dxa"/>
              <w:bottom w:w="80" w:type="dxa"/>
              <w:end w:w="80" w:type="dxa"/>
            </w:tcMar>
          </w:tcPr>
          <w:p>
            <w:r>
              <w:t>TCAIO and formal CEA/BIA</w:t>
            </w:r>
          </w:p>
        </w:tc>
        <w:tc>
          <w:tcPr>
            <w:tcW w:type="dxa" w:w="1995"/>
            <w:vAlign w:val="centre"/>
            <w:tcMar>
              <w:top w:w="80" w:type="dxa"/>
              <w:start w:w="80" w:type="dxa"/>
              <w:bottom w:w="80" w:type="dxa"/>
              <w:end w:w="80" w:type="dxa"/>
            </w:tcMar>
          </w:tcPr>
          <w:p>
            <w:r>
              <w:t>Adaptive economics and portfolio optimization</w:t>
            </w:r>
          </w:p>
        </w:tc>
        <w:tc>
          <w:tcPr>
            <w:tcW w:type="dxa" w:w="1995"/>
            <w:vAlign w:val="centre"/>
            <w:tcMar>
              <w:top w:w="80" w:type="dxa"/>
              <w:start w:w="80" w:type="dxa"/>
              <w:bottom w:w="80" w:type="dxa"/>
              <w:end w:w="80" w:type="dxa"/>
            </w:tcMar>
          </w:tcPr>
          <w:p>
            <w:r>
              <w:t>Illustrative response for Economics: evidence documented, limitations noted, and an accountable owner assigned.</w:t>
            </w:r>
          </w:p>
        </w:tc>
      </w:tr>
      <w:tr>
        <w:tc>
          <w:tcPr>
            <w:tcW w:type="dxa" w:w="1995"/>
            <w:vAlign w:val="centre"/>
            <w:tcMar>
              <w:top w:w="80" w:type="dxa"/>
              <w:start w:w="80" w:type="dxa"/>
              <w:bottom w:w="80" w:type="dxa"/>
              <w:end w:w="80" w:type="dxa"/>
            </w:tcMar>
          </w:tcPr>
          <w:p>
            <w:r>
              <w:t>Workforce</w:t>
            </w:r>
          </w:p>
        </w:tc>
        <w:tc>
          <w:tcPr>
            <w:tcW w:type="dxa" w:w="1995"/>
            <w:vAlign w:val="centre"/>
            <w:tcMar>
              <w:top w:w="80" w:type="dxa"/>
              <w:start w:w="80" w:type="dxa"/>
              <w:bottom w:w="80" w:type="dxa"/>
              <w:end w:w="80" w:type="dxa"/>
            </w:tcMar>
          </w:tcPr>
          <w:p>
            <w:r>
              <w:t>Workarounds and low literacy</w:t>
            </w:r>
          </w:p>
        </w:tc>
        <w:tc>
          <w:tcPr>
            <w:tcW w:type="dxa" w:w="1995"/>
            <w:vAlign w:val="centre"/>
            <w:tcMar>
              <w:top w:w="80" w:type="dxa"/>
              <w:start w:w="80" w:type="dxa"/>
              <w:bottom w:w="80" w:type="dxa"/>
              <w:end w:w="80" w:type="dxa"/>
            </w:tcMar>
          </w:tcPr>
          <w:p>
            <w:r>
              <w:t>Basic digital training</w:t>
            </w:r>
          </w:p>
        </w:tc>
        <w:tc>
          <w:tcPr>
            <w:tcW w:type="dxa" w:w="1995"/>
            <w:vAlign w:val="centre"/>
            <w:tcMar>
              <w:top w:w="80" w:type="dxa"/>
              <w:start w:w="80" w:type="dxa"/>
              <w:bottom w:w="80" w:type="dxa"/>
              <w:end w:w="80" w:type="dxa"/>
            </w:tcMar>
          </w:tcPr>
          <w:p>
            <w:r>
              <w:t>Change-management capacity</w:t>
            </w:r>
          </w:p>
        </w:tc>
        <w:tc>
          <w:tcPr>
            <w:tcW w:type="dxa" w:w="1995"/>
            <w:vAlign w:val="centre"/>
            <w:tcMar>
              <w:top w:w="80" w:type="dxa"/>
              <w:start w:w="80" w:type="dxa"/>
              <w:bottom w:w="80" w:type="dxa"/>
              <w:end w:w="80" w:type="dxa"/>
            </w:tcMar>
          </w:tcPr>
          <w:p>
            <w:r>
              <w:t>Role-specific AI competence</w:t>
            </w:r>
          </w:p>
        </w:tc>
        <w:tc>
          <w:tcPr>
            <w:tcW w:type="dxa" w:w="1995"/>
            <w:vAlign w:val="centre"/>
            <w:tcMar>
              <w:top w:w="80" w:type="dxa"/>
              <w:start w:w="80" w:type="dxa"/>
              <w:bottom w:w="80" w:type="dxa"/>
              <w:end w:w="80" w:type="dxa"/>
            </w:tcMar>
          </w:tcPr>
          <w:p>
            <w:r>
              <w:t>Continuous learning, simulation, new roles</w:t>
            </w:r>
          </w:p>
        </w:tc>
        <w:tc>
          <w:tcPr>
            <w:tcW w:type="dxa" w:w="1995"/>
            <w:vAlign w:val="centre"/>
            <w:tcMar>
              <w:top w:w="80" w:type="dxa"/>
              <w:start w:w="80" w:type="dxa"/>
              <w:bottom w:w="80" w:type="dxa"/>
              <w:end w:w="80" w:type="dxa"/>
            </w:tcMar>
          </w:tcPr>
          <w:p>
            <w:r>
              <w:t>Illustrative response for Workforce: evidence documented, limitations noted, and an accountable owner assigned.</w:t>
            </w:r>
          </w:p>
        </w:tc>
      </w:tr>
      <w:tr>
        <w:tc>
          <w:tcPr>
            <w:tcW w:type="dxa" w:w="1995"/>
            <w:vAlign w:val="centre"/>
            <w:tcMar>
              <w:top w:w="80" w:type="dxa"/>
              <w:start w:w="80" w:type="dxa"/>
              <w:bottom w:w="80" w:type="dxa"/>
              <w:end w:w="80" w:type="dxa"/>
            </w:tcMar>
          </w:tcPr>
          <w:p>
            <w:r>
              <w:t>Cybersecurity</w:t>
            </w:r>
          </w:p>
        </w:tc>
        <w:tc>
          <w:tcPr>
            <w:tcW w:type="dxa" w:w="1995"/>
            <w:vAlign w:val="centre"/>
            <w:tcMar>
              <w:top w:w="80" w:type="dxa"/>
              <w:start w:w="80" w:type="dxa"/>
              <w:bottom w:w="80" w:type="dxa"/>
              <w:end w:w="80" w:type="dxa"/>
            </w:tcMar>
          </w:tcPr>
          <w:p>
            <w:r>
              <w:t>Reactive</w:t>
            </w:r>
          </w:p>
        </w:tc>
        <w:tc>
          <w:tcPr>
            <w:tcW w:type="dxa" w:w="1995"/>
            <w:vAlign w:val="centre"/>
            <w:tcMar>
              <w:top w:w="80" w:type="dxa"/>
              <w:start w:w="80" w:type="dxa"/>
              <w:bottom w:w="80" w:type="dxa"/>
              <w:end w:w="80" w:type="dxa"/>
            </w:tcMar>
          </w:tcPr>
          <w:p>
            <w:r>
              <w:t>Basic controls and backup</w:t>
            </w:r>
          </w:p>
        </w:tc>
        <w:tc>
          <w:tcPr>
            <w:tcW w:type="dxa" w:w="1995"/>
            <w:vAlign w:val="centre"/>
            <w:tcMar>
              <w:top w:w="80" w:type="dxa"/>
              <w:start w:w="80" w:type="dxa"/>
              <w:bottom w:w="80" w:type="dxa"/>
              <w:end w:w="80" w:type="dxa"/>
            </w:tcMar>
          </w:tcPr>
          <w:p>
            <w:r>
              <w:t>Documented risk and incident response</w:t>
            </w:r>
          </w:p>
        </w:tc>
        <w:tc>
          <w:tcPr>
            <w:tcW w:type="dxa" w:w="1995"/>
            <w:vAlign w:val="centre"/>
            <w:tcMar>
              <w:top w:w="80" w:type="dxa"/>
              <w:start w:w="80" w:type="dxa"/>
              <w:bottom w:w="80" w:type="dxa"/>
              <w:end w:w="80" w:type="dxa"/>
            </w:tcMar>
          </w:tcPr>
          <w:p>
            <w:r>
              <w:t>AI/vendor assurance and resilience testing</w:t>
            </w:r>
          </w:p>
        </w:tc>
        <w:tc>
          <w:tcPr>
            <w:tcW w:type="dxa" w:w="1995"/>
            <w:vAlign w:val="centre"/>
            <w:tcMar>
              <w:top w:w="80" w:type="dxa"/>
              <w:start w:w="80" w:type="dxa"/>
              <w:bottom w:w="80" w:type="dxa"/>
              <w:end w:w="80" w:type="dxa"/>
            </w:tcMar>
          </w:tcPr>
          <w:p>
            <w:r>
              <w:t>Continuous threat, model, and supply-chain monitoring</w:t>
            </w:r>
          </w:p>
        </w:tc>
        <w:tc>
          <w:tcPr>
            <w:tcW w:type="dxa" w:w="1995"/>
            <w:vAlign w:val="centre"/>
            <w:tcMar>
              <w:top w:w="80" w:type="dxa"/>
              <w:start w:w="80" w:type="dxa"/>
              <w:bottom w:w="80" w:type="dxa"/>
              <w:end w:w="80" w:type="dxa"/>
            </w:tcMar>
          </w:tcPr>
          <w:p>
            <w:r>
              <w:t>Illustrative response for Cybersecurity: evidence documented, limitations noted, and an accountable owner assigned.</w:t>
            </w:r>
          </w:p>
        </w:tc>
      </w:tr>
      <w:tr>
        <w:tc>
          <w:tcPr>
            <w:tcW w:type="dxa" w:w="1995"/>
            <w:vAlign w:val="centre"/>
            <w:tcMar>
              <w:top w:w="80" w:type="dxa"/>
              <w:start w:w="80" w:type="dxa"/>
              <w:bottom w:w="80" w:type="dxa"/>
              <w:end w:w="80" w:type="dxa"/>
            </w:tcMar>
          </w:tcPr>
          <w:p>
            <w:r>
              <w:t>Patient/public</w:t>
            </w:r>
          </w:p>
        </w:tc>
        <w:tc>
          <w:tcPr>
            <w:tcW w:type="dxa" w:w="1995"/>
            <w:vAlign w:val="centre"/>
            <w:tcMar>
              <w:top w:w="80" w:type="dxa"/>
              <w:start w:w="80" w:type="dxa"/>
              <w:bottom w:w="80" w:type="dxa"/>
              <w:end w:w="80" w:type="dxa"/>
            </w:tcMar>
          </w:tcPr>
          <w:p>
            <w:r>
              <w:t>Minimal involvement</w:t>
            </w:r>
          </w:p>
        </w:tc>
        <w:tc>
          <w:tcPr>
            <w:tcW w:type="dxa" w:w="1995"/>
            <w:vAlign w:val="centre"/>
            <w:tcMar>
              <w:top w:w="80" w:type="dxa"/>
              <w:start w:w="80" w:type="dxa"/>
              <w:bottom w:w="80" w:type="dxa"/>
              <w:end w:w="80" w:type="dxa"/>
            </w:tcMar>
          </w:tcPr>
          <w:p>
            <w:r>
              <w:t>Episodic consultation</w:t>
            </w:r>
          </w:p>
        </w:tc>
        <w:tc>
          <w:tcPr>
            <w:tcW w:type="dxa" w:w="1995"/>
            <w:vAlign w:val="centre"/>
            <w:tcMar>
              <w:top w:w="80" w:type="dxa"/>
              <w:start w:w="80" w:type="dxa"/>
              <w:bottom w:w="80" w:type="dxa"/>
              <w:end w:w="80" w:type="dxa"/>
            </w:tcMar>
          </w:tcPr>
          <w:p>
            <w:r>
              <w:t>Project-level engagement</w:t>
            </w:r>
          </w:p>
        </w:tc>
        <w:tc>
          <w:tcPr>
            <w:tcW w:type="dxa" w:w="1995"/>
            <w:vAlign w:val="centre"/>
            <w:tcMar>
              <w:top w:w="80" w:type="dxa"/>
              <w:start w:w="80" w:type="dxa"/>
              <w:bottom w:w="80" w:type="dxa"/>
              <w:end w:w="80" w:type="dxa"/>
            </w:tcMar>
          </w:tcPr>
          <w:p>
            <w:r>
              <w:t>Co-design and equity assessment</w:t>
            </w:r>
          </w:p>
        </w:tc>
        <w:tc>
          <w:tcPr>
            <w:tcW w:type="dxa" w:w="1995"/>
            <w:vAlign w:val="centre"/>
            <w:tcMar>
              <w:top w:w="80" w:type="dxa"/>
              <w:start w:w="80" w:type="dxa"/>
              <w:bottom w:w="80" w:type="dxa"/>
              <w:end w:w="80" w:type="dxa"/>
            </w:tcMar>
          </w:tcPr>
          <w:p>
            <w:r>
              <w:t>Ongoing governance representation and feedback</w:t>
            </w:r>
          </w:p>
        </w:tc>
        <w:tc>
          <w:tcPr>
            <w:tcW w:type="dxa" w:w="1995"/>
            <w:vAlign w:val="centre"/>
            <w:tcMar>
              <w:top w:w="80" w:type="dxa"/>
              <w:start w:w="80" w:type="dxa"/>
              <w:bottom w:w="80" w:type="dxa"/>
              <w:end w:w="80" w:type="dxa"/>
            </w:tcMar>
          </w:tcPr>
          <w:p>
            <w:r>
              <w:t>Illustrative response for Patient/public: evidence documented, limitations noted, and an accountable owner assigned.</w:t>
            </w:r>
          </w:p>
        </w:tc>
      </w:tr>
      <w:tr>
        <w:tc>
          <w:tcPr>
            <w:tcW w:type="dxa" w:w="1995"/>
            <w:vAlign w:val="centre"/>
            <w:tcMar>
              <w:top w:w="80" w:type="dxa"/>
              <w:start w:w="80" w:type="dxa"/>
              <w:bottom w:w="80" w:type="dxa"/>
              <w:end w:w="80" w:type="dxa"/>
            </w:tcMar>
          </w:tcPr>
          <w:p>
            <w:r>
              <w:t>Monitoring</w:t>
            </w:r>
          </w:p>
        </w:tc>
        <w:tc>
          <w:tcPr>
            <w:tcW w:type="dxa" w:w="1995"/>
            <w:vAlign w:val="centre"/>
            <w:tcMar>
              <w:top w:w="80" w:type="dxa"/>
              <w:start w:w="80" w:type="dxa"/>
              <w:bottom w:w="80" w:type="dxa"/>
              <w:end w:w="80" w:type="dxa"/>
            </w:tcMar>
          </w:tcPr>
          <w:p>
            <w:r>
              <w:t>No post-launch review</w:t>
            </w:r>
          </w:p>
        </w:tc>
        <w:tc>
          <w:tcPr>
            <w:tcW w:type="dxa" w:w="1995"/>
            <w:vAlign w:val="centre"/>
            <w:tcMar>
              <w:top w:w="80" w:type="dxa"/>
              <w:start w:w="80" w:type="dxa"/>
              <w:bottom w:w="80" w:type="dxa"/>
              <w:end w:w="80" w:type="dxa"/>
            </w:tcMar>
          </w:tcPr>
          <w:p>
            <w:r>
              <w:t>Project KPIs</w:t>
            </w:r>
          </w:p>
        </w:tc>
        <w:tc>
          <w:tcPr>
            <w:tcW w:type="dxa" w:w="1995"/>
            <w:vAlign w:val="centre"/>
            <w:tcMar>
              <w:top w:w="80" w:type="dxa"/>
              <w:start w:w="80" w:type="dxa"/>
              <w:bottom w:w="80" w:type="dxa"/>
              <w:end w:w="80" w:type="dxa"/>
            </w:tcMar>
          </w:tcPr>
          <w:p>
            <w:r>
              <w:t>Routine operational review</w:t>
            </w:r>
          </w:p>
        </w:tc>
        <w:tc>
          <w:tcPr>
            <w:tcW w:type="dxa" w:w="1995"/>
            <w:vAlign w:val="centre"/>
            <w:tcMar>
              <w:top w:w="80" w:type="dxa"/>
              <w:start w:w="80" w:type="dxa"/>
              <w:bottom w:w="80" w:type="dxa"/>
              <w:end w:w="80" w:type="dxa"/>
            </w:tcMar>
          </w:tcPr>
          <w:p>
            <w:r>
              <w:t>Algorithmovigilance for AI uses</w:t>
            </w:r>
          </w:p>
        </w:tc>
        <w:tc>
          <w:tcPr>
            <w:tcW w:type="dxa" w:w="1995"/>
            <w:vAlign w:val="centre"/>
            <w:tcMar>
              <w:top w:w="80" w:type="dxa"/>
              <w:start w:w="80" w:type="dxa"/>
              <w:bottom w:w="80" w:type="dxa"/>
              <w:end w:w="80" w:type="dxa"/>
            </w:tcMar>
          </w:tcPr>
          <w:p>
            <w:r>
              <w:t>Portfolio-level lifecycle evaluation and de-adoption</w:t>
            </w:r>
          </w:p>
        </w:tc>
        <w:tc>
          <w:tcPr>
            <w:tcW w:type="dxa" w:w="1995"/>
            <w:vAlign w:val="centre"/>
            <w:tcMar>
              <w:top w:w="80" w:type="dxa"/>
              <w:start w:w="80" w:type="dxa"/>
              <w:bottom w:w="80" w:type="dxa"/>
              <w:end w:w="80" w:type="dxa"/>
            </w:tcMar>
          </w:tcPr>
          <w:p>
            <w:r>
              <w:t>Illustrative response for Monitoring: evidence documented, limitations noted, and an accountable owner assigned.</w:t>
            </w:r>
          </w:p>
        </w:tc>
      </w:tr>
    </w:tbl>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F5F0E7"/>
          </w:tcPr>
          <w:p>
            <w:r>
              <w:rPr>
                <w:b/>
              </w:rPr>
              <w:t>Field</w:t>
            </w:r>
          </w:p>
        </w:tc>
        <w:tc>
          <w:tcPr>
            <w:tcW w:type="dxa" w:w="6984"/>
            <w:vAlign w:val="centre"/>
            <w:tcMar>
              <w:top w:w="80" w:type="dxa"/>
              <w:start w:w="80" w:type="dxa"/>
              <w:bottom w:w="80" w:type="dxa"/>
              <w:end w:w="80" w:type="dxa"/>
            </w:tcMar>
            <w:shd w:fill="F5F0E7"/>
          </w:tcPr>
          <w:p>
            <w:r>
              <w:rPr>
                <w:b/>
              </w:rPr>
              <w:t>Guidance / response</w:t>
            </w:r>
          </w:p>
        </w:tc>
      </w:tr>
      <w:tr>
        <w:tc>
          <w:tcPr>
            <w:tcW w:type="dxa" w:w="6984"/>
            <w:vAlign w:val="centre"/>
            <w:tcMar>
              <w:top w:w="80" w:type="dxa"/>
              <w:start w:w="80" w:type="dxa"/>
              <w:bottom w:w="80" w:type="dxa"/>
              <w:end w:w="80" w:type="dxa"/>
            </w:tcMar>
          </w:tcPr>
          <w:p>
            <w:r>
              <w:t>Overall maturity judgement</w:t>
            </w:r>
          </w:p>
        </w:tc>
        <w:tc>
          <w:tcPr>
            <w:tcW w:type="dxa" w:w="6984"/>
            <w:vAlign w:val="centre"/>
            <w:tcMar>
              <w:top w:w="80" w:type="dxa"/>
              <w:start w:w="80" w:type="dxa"/>
              <w:bottom w:w="80" w:type="dxa"/>
              <w:end w:w="80" w:type="dxa"/>
            </w:tcMar>
          </w:tcPr>
          <w:p>
            <w:r>
              <w:t>Illustrative response for Overall maturity judgement: evidence documented, limitations noted, and an accountable owner assigned.</w:t>
            </w:r>
          </w:p>
        </w:tc>
      </w:tr>
      <w:tr>
        <w:tc>
          <w:tcPr>
            <w:tcW w:type="dxa" w:w="6984"/>
            <w:vAlign w:val="centre"/>
            <w:tcMar>
              <w:top w:w="80" w:type="dxa"/>
              <w:start w:w="80" w:type="dxa"/>
              <w:bottom w:w="80" w:type="dxa"/>
              <w:end w:w="80" w:type="dxa"/>
            </w:tcMar>
          </w:tcPr>
          <w:p>
            <w:r>
              <w:t>Weakest critical domain</w:t>
            </w:r>
          </w:p>
        </w:tc>
        <w:tc>
          <w:tcPr>
            <w:tcW w:type="dxa" w:w="6984"/>
            <w:vAlign w:val="centre"/>
            <w:tcMar>
              <w:top w:w="80" w:type="dxa"/>
              <w:start w:w="80" w:type="dxa"/>
              <w:bottom w:w="80" w:type="dxa"/>
              <w:end w:w="80" w:type="dxa"/>
            </w:tcMar>
          </w:tcPr>
          <w:p>
            <w:r>
              <w:t>Illustrative response for Weakest critical domain: evidence documented, limitations noted, and an accountable owner assigned.</w:t>
            </w:r>
          </w:p>
        </w:tc>
      </w:tr>
      <w:tr>
        <w:tc>
          <w:tcPr>
            <w:tcW w:type="dxa" w:w="6984"/>
            <w:vAlign w:val="centre"/>
            <w:tcMar>
              <w:top w:w="80" w:type="dxa"/>
              <w:start w:w="80" w:type="dxa"/>
              <w:bottom w:w="80" w:type="dxa"/>
              <w:end w:w="80" w:type="dxa"/>
            </w:tcMar>
          </w:tcPr>
          <w:p>
            <w:r>
              <w:t>Use-case-specific minimum level</w:t>
            </w:r>
          </w:p>
        </w:tc>
        <w:tc>
          <w:tcPr>
            <w:tcW w:type="dxa" w:w="6984"/>
            <w:vAlign w:val="centre"/>
            <w:tcMar>
              <w:top w:w="80" w:type="dxa"/>
              <w:start w:w="80" w:type="dxa"/>
              <w:bottom w:w="80" w:type="dxa"/>
              <w:end w:w="80" w:type="dxa"/>
            </w:tcMar>
          </w:tcPr>
          <w:p>
            <w:r>
              <w:t>Illustrative response for Use-case-specific minimum level: evidence documented, limitations noted, and an accountable owner assigned.</w:t>
            </w:r>
          </w:p>
        </w:tc>
      </w:tr>
      <w:tr>
        <w:tc>
          <w:tcPr>
            <w:tcW w:type="dxa" w:w="6984"/>
            <w:vAlign w:val="centre"/>
            <w:tcMar>
              <w:top w:w="80" w:type="dxa"/>
              <w:start w:w="80" w:type="dxa"/>
              <w:bottom w:w="80" w:type="dxa"/>
              <w:end w:w="80" w:type="dxa"/>
            </w:tcMar>
          </w:tcPr>
          <w:p>
            <w:r>
              <w:t>Prerequisites before pilot</w:t>
            </w:r>
          </w:p>
        </w:tc>
        <w:tc>
          <w:tcPr>
            <w:tcW w:type="dxa" w:w="6984"/>
            <w:vAlign w:val="centre"/>
            <w:tcMar>
              <w:top w:w="80" w:type="dxa"/>
              <w:start w:w="80" w:type="dxa"/>
              <w:bottom w:w="80" w:type="dxa"/>
              <w:end w:w="80" w:type="dxa"/>
            </w:tcMar>
          </w:tcPr>
          <w:p>
            <w:r>
              <w:t>Illustrative response for Prerequisites before pilot: evidence documented, limitations noted, and an accountable owner assigned.</w:t>
            </w:r>
          </w:p>
        </w:tc>
      </w:tr>
      <w:tr>
        <w:tc>
          <w:tcPr>
            <w:tcW w:type="dxa" w:w="6984"/>
            <w:vAlign w:val="centre"/>
            <w:tcMar>
              <w:top w:w="80" w:type="dxa"/>
              <w:start w:w="80" w:type="dxa"/>
              <w:bottom w:w="80" w:type="dxa"/>
              <w:end w:w="80" w:type="dxa"/>
            </w:tcMar>
          </w:tcPr>
          <w:p>
            <w:r>
              <w:t>12-month capability plan</w:t>
            </w:r>
          </w:p>
        </w:tc>
        <w:tc>
          <w:tcPr>
            <w:tcW w:type="dxa" w:w="6984"/>
            <w:vAlign w:val="centre"/>
            <w:tcMar>
              <w:top w:w="80" w:type="dxa"/>
              <w:start w:w="80" w:type="dxa"/>
              <w:bottom w:w="80" w:type="dxa"/>
              <w:end w:w="80" w:type="dxa"/>
            </w:tcMar>
          </w:tcPr>
          <w:p>
            <w:r>
              <w:t>Illustrative response for 12-month capability plan: evidence documented, limitations noted, and an accountable owner assigned.</w:t>
            </w:r>
          </w:p>
        </w:tc>
      </w:tr>
      <w:tr>
        <w:tc>
          <w:tcPr>
            <w:tcW w:type="dxa" w:w="6984"/>
            <w:vAlign w:val="centre"/>
            <w:tcMar>
              <w:top w:w="80" w:type="dxa"/>
              <w:start w:w="80" w:type="dxa"/>
              <w:bottom w:w="80" w:type="dxa"/>
              <w:end w:w="80" w:type="dxa"/>
            </w:tcMar>
          </w:tcPr>
          <w:p>
            <w:r>
              <w:t>Responsible sponsor and review date</w:t>
            </w:r>
          </w:p>
        </w:tc>
        <w:tc>
          <w:tcPr>
            <w:tcW w:type="dxa" w:w="6984"/>
            <w:vAlign w:val="centre"/>
            <w:tcMar>
              <w:top w:w="80" w:type="dxa"/>
              <w:start w:w="80" w:type="dxa"/>
              <w:bottom w:w="80" w:type="dxa"/>
              <w:end w:w="80" w:type="dxa"/>
            </w:tcMar>
          </w:tcPr>
          <w:p>
            <w:r>
              <w:t>Illustrative response for Responsible sponsor and review date: evidence documented, limitations noted, and an accountable owner assigned.</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