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AIHE-A04 — Data Source, Provenance, and Fitness Record</w:t>
      </w:r>
    </w:p>
    <w:p>
      <w:pPr>
        <w:spacing w:after="80"/>
      </w:pPr>
      <w:r>
        <w:rPr>
          <w:color w:val="877567"/>
          <w:sz w:val="20"/>
        </w:rPr>
        <w:t>Chapter 2: Institutional Readiness and Digital Foundations</w:t>
      </w:r>
    </w:p>
    <w:p>
      <w:r>
        <w:t>Document source and derived data assets, authority, definitions, transformations, quality, lineage, monitoring, and remediation.</w:t>
      </w:r>
    </w:p>
    <w:p>
      <w:r>
        <w:rPr>
          <w:rFonts w:ascii="Aptos" w:hAnsi="Aptos"/>
          <w:sz w:val="17"/>
        </w:rPr>
        <w:t>Resource: AIHE-A04  |  V1.0  |  Aligned chapters: 2, 8, 11,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1862"/>
        <w:gridCol w:w="1862"/>
        <w:gridCol w:w="1862"/>
        <w:gridCol w:w="1862"/>
        <w:gridCol w:w="1862"/>
        <w:gridCol w:w="1862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Source or derived asset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Purpose and required timing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Authority and steward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Definition, units, and transformations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Completeness, plausibility, and representativeness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Lineage, version, and monitoring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Risk, remediation, and decision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AIHE-A04 — Data Source, Provenance, and Fitness Record</w:t>
      </w:r>
    </w:p>
    <w:p>
      <w:pPr>
        <w:spacing w:after="80"/>
      </w:pPr>
      <w:r>
        <w:rPr>
          <w:color w:val="877567"/>
          <w:sz w:val="20"/>
        </w:rPr>
        <w:t>Chapter 2: Institutional Readiness and Digital Foundations</w:t>
      </w:r>
    </w:p>
    <w:p>
      <w:r>
        <w:t>Document source and derived data assets, authority, definitions, transformations, quality, lineage, monitoring, and remediation.</w:t>
      </w:r>
    </w:p>
    <w:p>
      <w:r>
        <w:rPr>
          <w:rFonts w:ascii="Aptos" w:hAnsi="Aptos"/>
          <w:sz w:val="17"/>
        </w:rPr>
        <w:t>Resource: AIHE-A04  |  V1.0  |  Aligned chapters: 2, 8, 11,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794"/>
        <w:gridCol w:w="1862"/>
        <w:gridCol w:w="1862"/>
        <w:gridCol w:w="1862"/>
        <w:gridCol w:w="1862"/>
        <w:gridCol w:w="1862"/>
        <w:gridCol w:w="1862"/>
      </w:tblGrid>
      <w:tr>
        <w:trPr>
          <w:tblHeader/>
          <w:cantSplit/>
        </w:trPr>
        <w:tc>
          <w:tcPr>
            <w:tcW w:type="dxa" w:w="279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Source or derived asset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Purpose and required timing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Authority and steward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Definition, units, and transformations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Completeness, plausibility, and representativeness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Lineage, version, and monitoring</w:t>
            </w:r>
          </w:p>
        </w:tc>
        <w:tc>
          <w:tcPr>
            <w:tcW w:type="dxa" w:w="1862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Risk, remediation, and decision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279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862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